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100"/>
        <w:jc w:val="center"/>
        <w:rPr>
          <w:rFonts w:hint="eastAsia" w:ascii="宋体" w:hAnsi="宋体"/>
          <w:b/>
          <w:sz w:val="56"/>
          <w:szCs w:val="52"/>
        </w:rPr>
      </w:pPr>
      <w:bookmarkStart w:id="0" w:name="_Toc4070"/>
      <w:r>
        <w:rPr>
          <w:rFonts w:ascii="宋体" w:hAnsi="宋体"/>
          <w:b/>
          <w:sz w:val="56"/>
          <w:szCs w:val="52"/>
        </w:rPr>
        <w:drawing>
          <wp:inline distT="0" distB="0" distL="114300" distR="114300">
            <wp:extent cx="3181350" cy="1009650"/>
            <wp:effectExtent l="0" t="0" r="19050" b="6350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100"/>
        <w:rPr>
          <w:rFonts w:ascii="宋体" w:hAnsi="宋体"/>
          <w:b/>
          <w:sz w:val="56"/>
          <w:szCs w:val="52"/>
        </w:rPr>
      </w:pPr>
      <w:r>
        <w:rPr>
          <w:rFonts w:hint="eastAsia" w:ascii="宋体" w:hAnsi="宋体"/>
          <w:b/>
          <w:sz w:val="56"/>
          <w:szCs w:val="52"/>
        </w:rPr>
        <w:t>维普毕业</w:t>
      </w:r>
      <w:r>
        <w:rPr>
          <w:rFonts w:hint="eastAsia" w:ascii="宋体" w:hAnsi="宋体"/>
          <w:b/>
          <w:sz w:val="56"/>
          <w:szCs w:val="52"/>
          <w:lang w:val="en-US" w:eastAsia="zh-CN"/>
        </w:rPr>
        <w:t>论文</w:t>
      </w:r>
      <w:r>
        <w:rPr>
          <w:rFonts w:hint="eastAsia" w:ascii="宋体" w:hAnsi="宋体"/>
          <w:b/>
          <w:sz w:val="56"/>
          <w:szCs w:val="52"/>
        </w:rPr>
        <w:t>（</w:t>
      </w:r>
      <w:r>
        <w:rPr>
          <w:rFonts w:hint="eastAsia" w:ascii="宋体" w:hAnsi="宋体"/>
          <w:b/>
          <w:sz w:val="56"/>
          <w:szCs w:val="52"/>
          <w:lang w:val="en-US" w:eastAsia="zh-CN"/>
        </w:rPr>
        <w:t>设计</w:t>
      </w:r>
      <w:r>
        <w:rPr>
          <w:rFonts w:hint="eastAsia" w:ascii="宋体" w:hAnsi="宋体"/>
          <w:b/>
          <w:sz w:val="56"/>
          <w:szCs w:val="52"/>
        </w:rPr>
        <w:t>）管理系统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outlineLvl w:val="0"/>
        <w:rPr>
          <w:rFonts w:ascii="宋体" w:hAnsi="宋体"/>
          <w:b/>
          <w:sz w:val="56"/>
          <w:szCs w:val="52"/>
        </w:rPr>
      </w:pPr>
      <w:bookmarkStart w:id="1" w:name="_Toc16515"/>
      <w:r>
        <w:rPr>
          <w:rFonts w:hint="eastAsia" w:ascii="宋体" w:hAnsi="宋体"/>
          <w:b/>
          <w:sz w:val="56"/>
          <w:szCs w:val="52"/>
        </w:rPr>
        <w:t>用户操作手册</w:t>
      </w:r>
      <w:bookmarkEnd w:id="1"/>
    </w:p>
    <w:p>
      <w:pPr>
        <w:jc w:val="center"/>
        <w:rPr>
          <w:rFonts w:ascii="宋体" w:hAnsi="宋体"/>
          <w:b/>
          <w:sz w:val="48"/>
          <w:szCs w:val="52"/>
        </w:rPr>
      </w:pPr>
      <w:r>
        <w:rPr>
          <w:rFonts w:hint="eastAsia" w:ascii="宋体" w:hAnsi="宋体"/>
          <w:b/>
          <w:sz w:val="48"/>
          <w:szCs w:val="52"/>
        </w:rPr>
        <w:t>（</w:t>
      </w:r>
      <w:r>
        <w:rPr>
          <w:rFonts w:hint="eastAsia" w:ascii="宋体" w:hAnsi="宋体"/>
          <w:b/>
          <w:sz w:val="48"/>
          <w:szCs w:val="52"/>
          <w:lang w:val="en-US" w:eastAsia="zh-CN"/>
        </w:rPr>
        <w:t>专业负责人角色</w:t>
      </w:r>
      <w:r>
        <w:rPr>
          <w:rFonts w:hint="eastAsia" w:ascii="宋体" w:hAnsi="宋体"/>
          <w:b/>
          <w:sz w:val="48"/>
          <w:szCs w:val="52"/>
        </w:rPr>
        <w:t>）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重庆泛语科技有限公司</w:t>
      </w:r>
    </w:p>
    <w:p>
      <w:pPr>
        <w:ind w:firstLine="3000" w:firstLineChars="10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二〇二</w:t>
      </w:r>
      <w:r>
        <w:rPr>
          <w:rFonts w:hint="eastAsia" w:ascii="宋体" w:hAnsi="宋体"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eastAsia="zh-CN"/>
        </w:rPr>
        <w:t>一</w:t>
      </w:r>
      <w:r>
        <w:rPr>
          <w:rFonts w:hint="eastAsia" w:ascii="宋体" w:hAnsi="宋体"/>
          <w:sz w:val="30"/>
          <w:szCs w:val="30"/>
        </w:rPr>
        <w:t>月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br w:type="page"/>
      </w:r>
    </w:p>
    <w:p>
      <w:pPr>
        <w:spacing w:line="240" w:lineRule="auto"/>
        <w:jc w:val="center"/>
      </w:pPr>
      <w:r>
        <w:rPr>
          <w:rFonts w:ascii="宋体" w:hAnsi="宋体"/>
        </w:rPr>
        <w:t>目录</w:t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 w:val="30"/>
          <w:szCs w:val="30"/>
        </w:rPr>
        <w:fldChar w:fldCharType="begin"/>
      </w:r>
      <w:r>
        <w:rPr>
          <w:rFonts w:hint="eastAsia" w:ascii="宋体" w:hAnsi="宋体"/>
          <w:sz w:val="30"/>
          <w:szCs w:val="30"/>
        </w:rPr>
        <w:instrText xml:space="preserve">TOC \o "1-2" \h \u </w:instrText>
      </w:r>
      <w:r>
        <w:rPr>
          <w:rFonts w:hint="eastAsia" w:ascii="宋体" w:hAnsi="宋体"/>
          <w:sz w:val="30"/>
          <w:szCs w:val="30"/>
        </w:rPr>
        <w:fldChar w:fldCharType="separate"/>
      </w: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_Toc16515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 w:ascii="宋体" w:hAnsi="宋体"/>
          <w:szCs w:val="52"/>
        </w:rPr>
        <w:t>用户操作手册</w:t>
      </w:r>
      <w:r>
        <w:tab/>
      </w:r>
      <w:r>
        <w:fldChar w:fldCharType="begin"/>
      </w:r>
      <w:r>
        <w:instrText xml:space="preserve"> PAGEREF _Toc16515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_Toc29446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default"/>
        </w:rPr>
        <w:t xml:space="preserve">一、 </w:t>
      </w:r>
      <w:r>
        <w:rPr>
          <w:rFonts w:hint="eastAsia"/>
        </w:rPr>
        <w:t>系统登录</w:t>
      </w:r>
      <w:r>
        <w:tab/>
      </w:r>
      <w:r>
        <w:fldChar w:fldCharType="begin"/>
      </w:r>
      <w:r>
        <w:instrText xml:space="preserve"> PAGEREF _Toc29446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_Toc476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default"/>
        </w:rPr>
        <w:t xml:space="preserve">二、 </w:t>
      </w:r>
      <w:r>
        <w:rPr>
          <w:rFonts w:hint="eastAsia"/>
        </w:rPr>
        <w:t>个人设置</w:t>
      </w:r>
      <w:r>
        <w:tab/>
      </w:r>
      <w:r>
        <w:fldChar w:fldCharType="begin"/>
      </w:r>
      <w:r>
        <w:instrText xml:space="preserve"> PAGEREF _Toc476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_Toc9768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</w:rPr>
        <w:t>1、个人信息</w:t>
      </w:r>
      <w:r>
        <w:tab/>
      </w:r>
      <w:r>
        <w:fldChar w:fldCharType="begin"/>
      </w:r>
      <w:r>
        <w:instrText xml:space="preserve"> PAGEREF _Toc9768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_Toc15111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</w:rPr>
        <w:t>2、安全中心</w:t>
      </w:r>
      <w:r>
        <w:tab/>
      </w:r>
      <w:r>
        <w:fldChar w:fldCharType="begin"/>
      </w:r>
      <w:r>
        <w:instrText xml:space="preserve"> PAGEREF _Toc15111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_Toc23189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default" w:ascii="Calibri" w:hAnsi="Calibri" w:eastAsia="宋体" w:cs="Times New Roman"/>
          <w:lang w:val="en-US" w:eastAsia="zh-CN"/>
        </w:rPr>
        <w:t xml:space="preserve">三、 </w:t>
      </w:r>
      <w:r>
        <w:rPr>
          <w:rFonts w:hint="eastAsia" w:ascii="Calibri" w:hAnsi="Calibri" w:eastAsia="宋体" w:cs="Times New Roman"/>
          <w:lang w:val="en-US" w:eastAsia="zh-CN"/>
        </w:rPr>
        <w:t>系统主流程及操作方法</w:t>
      </w:r>
      <w:r>
        <w:tab/>
      </w:r>
      <w:r>
        <w:fldChar w:fldCharType="begin"/>
      </w:r>
      <w:r>
        <w:instrText xml:space="preserve"> PAGEREF _Toc23189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_Toc30492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  <w:lang w:val="en-US" w:eastAsia="zh-CN"/>
        </w:rPr>
        <w:t>1、</w:t>
      </w:r>
      <w:r>
        <w:t>过程管理</w:t>
      </w:r>
      <w:r>
        <w:tab/>
      </w:r>
      <w:r>
        <w:fldChar w:fldCharType="begin"/>
      </w:r>
      <w:r>
        <w:instrText xml:space="preserve"> PAGEREF _Toc30492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_Toc12000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  <w:lang w:val="en-US" w:eastAsia="zh-CN"/>
        </w:rPr>
        <w:t>1.1审核</w:t>
      </w:r>
      <w:r>
        <w:t>开题报告</w:t>
      </w:r>
      <w:r>
        <w:tab/>
      </w:r>
      <w:r>
        <w:fldChar w:fldCharType="begin"/>
      </w:r>
      <w:r>
        <w:instrText xml:space="preserve"> PAGEREF _Toc12000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_Toc8895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  <w:lang w:val="en-US" w:eastAsia="zh-CN"/>
        </w:rPr>
        <w:t>1.2审核</w:t>
      </w:r>
      <w:r>
        <w:t>中期检查</w:t>
      </w:r>
      <w:r>
        <w:tab/>
      </w:r>
      <w:r>
        <w:fldChar w:fldCharType="begin"/>
      </w:r>
      <w:r>
        <w:instrText xml:space="preserve"> PAGEREF _Toc8895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_Toc27664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  <w:lang w:val="en-US" w:eastAsia="zh-CN"/>
        </w:rPr>
        <w:t>1.3审核答辩资格审查</w:t>
      </w:r>
      <w:r>
        <w:tab/>
      </w:r>
      <w:r>
        <w:fldChar w:fldCharType="begin"/>
      </w:r>
      <w:r>
        <w:instrText xml:space="preserve"> PAGEREF _Toc27664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_Toc32257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 w:cs="Times New Roman"/>
          <w:lang w:val="en-US" w:eastAsia="zh-CN"/>
        </w:rPr>
        <w:t>四</w:t>
      </w:r>
      <w:r>
        <w:rPr>
          <w:rFonts w:hint="eastAsia" w:ascii="Calibri" w:hAnsi="Calibri" w:eastAsia="宋体" w:cs="Times New Roman"/>
          <w:lang w:val="en-US" w:eastAsia="zh-CN"/>
        </w:rPr>
        <w:t>、下载中心</w:t>
      </w:r>
      <w:r>
        <w:tab/>
      </w:r>
      <w:r>
        <w:fldChar w:fldCharType="begin"/>
      </w:r>
      <w:r>
        <w:instrText xml:space="preserve"> PAGEREF _Toc32257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_Toc10360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、消息管理</w:t>
      </w:r>
      <w:r>
        <w:tab/>
      </w:r>
      <w:r>
        <w:fldChar w:fldCharType="begin"/>
      </w:r>
      <w:r>
        <w:instrText xml:space="preserve"> PAGEREF _Toc10360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_Toc19041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</w:rPr>
        <w:t>1、站内信</w:t>
      </w:r>
      <w:r>
        <w:tab/>
      </w:r>
      <w:r>
        <w:fldChar w:fldCharType="begin"/>
      </w:r>
      <w:r>
        <w:instrText xml:space="preserve"> PAGEREF _Toc19041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_Toc31271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</w:rPr>
        <w:t>2、公告管理</w:t>
      </w:r>
      <w:r>
        <w:tab/>
      </w:r>
      <w:r>
        <w:fldChar w:fldCharType="begin"/>
      </w:r>
      <w:r>
        <w:instrText xml:space="preserve"> PAGEREF _Toc31271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ind w:firstLine="2100" w:firstLineChars="1000"/>
        <w:rPr>
          <w:rFonts w:hint="eastAsia" w:ascii="宋体" w:hAnsi="宋体"/>
          <w:b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Cs w:val="30"/>
        </w:rPr>
        <w:fldChar w:fldCharType="end"/>
      </w:r>
    </w:p>
    <w:p>
      <w:pPr>
        <w:ind w:firstLine="2108" w:firstLineChars="1000"/>
        <w:rPr>
          <w:rFonts w:hint="eastAsia" w:ascii="宋体" w:hAnsi="宋体"/>
          <w:b/>
          <w:szCs w:val="30"/>
        </w:rPr>
      </w:pPr>
    </w:p>
    <w:p>
      <w:pPr>
        <w:pStyle w:val="2"/>
        <w:numPr>
          <w:ilvl w:val="0"/>
          <w:numId w:val="1"/>
        </w:numPr>
        <w:spacing w:before="0" w:after="0" w:line="360" w:lineRule="auto"/>
      </w:pPr>
      <w:bookmarkStart w:id="2" w:name="_Toc29446"/>
      <w:r>
        <w:rPr>
          <w:rFonts w:hint="eastAsia"/>
        </w:rPr>
        <w:t>系统登录</w:t>
      </w:r>
      <w:bookmarkEnd w:id="0"/>
      <w:bookmarkEnd w:id="2"/>
    </w:p>
    <w:p>
      <w:pPr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</w:rPr>
        <w:t>打开网址https://vgms.fanyu.com/，选择学校“</w:t>
      </w:r>
      <w:r>
        <w:rPr>
          <w:rFonts w:hint="eastAsia" w:ascii="宋体" w:hAnsi="宋体" w:cs="宋体"/>
          <w:lang w:val="en-US" w:eastAsia="zh-CN"/>
        </w:rPr>
        <w:t>山东农业大学</w:t>
      </w:r>
      <w:r>
        <w:rPr>
          <w:rFonts w:hint="eastAsia" w:ascii="宋体" w:hAnsi="宋体" w:cs="宋体"/>
        </w:rPr>
        <w:t>”，输入账号和密码（</w:t>
      </w:r>
      <w:r>
        <w:rPr>
          <w:rFonts w:hint="eastAsia" w:ascii="宋体" w:hAnsi="宋体" w:cs="宋体"/>
          <w:color w:val="FF0000"/>
        </w:rPr>
        <w:t>账号为学号/工号，初始密码：以学校通知为准）</w:t>
      </w:r>
      <w:r>
        <w:rPr>
          <w:rFonts w:hint="eastAsia" w:ascii="宋体" w:hAnsi="宋体" w:cs="宋体"/>
          <w:color w:val="000000"/>
        </w:rPr>
        <w:t>，点击登录即可。</w:t>
      </w:r>
    </w:p>
    <w:p>
      <w:r>
        <w:drawing>
          <wp:inline distT="0" distB="0" distL="114300" distR="114300">
            <wp:extent cx="5264785" cy="2598420"/>
            <wp:effectExtent l="0" t="0" r="18415" b="17780"/>
            <wp:docPr id="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注意：</w:t>
      </w:r>
      <w:r>
        <w:rPr>
          <w:rFonts w:hint="eastAsia" w:ascii="宋体" w:hAnsi="宋体" w:cs="宋体"/>
          <w:color w:val="FF0000"/>
          <w:lang w:eastAsia="zh-CN"/>
        </w:rPr>
        <w:t>如果</w:t>
      </w:r>
      <w:r>
        <w:rPr>
          <w:rFonts w:hint="eastAsia" w:ascii="宋体" w:hAnsi="宋体" w:cs="宋体"/>
          <w:color w:val="FF0000"/>
        </w:rPr>
        <w:t>学生</w:t>
      </w:r>
      <w:r>
        <w:rPr>
          <w:rFonts w:hint="eastAsia" w:ascii="宋体" w:hAnsi="宋体" w:cs="宋体"/>
          <w:color w:val="FF0000"/>
          <w:lang w:eastAsia="zh-CN"/>
        </w:rPr>
        <w:t>角色</w:t>
      </w:r>
      <w:r>
        <w:rPr>
          <w:rFonts w:hint="eastAsia" w:ascii="宋体" w:hAnsi="宋体" w:cs="宋体"/>
          <w:color w:val="FF0000"/>
        </w:rPr>
        <w:t>是双学位，还需要选择一次组织</w:t>
      </w:r>
      <w:r>
        <w:rPr>
          <w:rFonts w:hint="eastAsia" w:ascii="宋体" w:hAnsi="宋体" w:cs="宋体"/>
          <w:color w:val="FF0000"/>
          <w:lang w:eastAsia="zh-CN"/>
        </w:rPr>
        <w:t>；如果教师是多角色，还需要选择一次角色；</w:t>
      </w:r>
    </w:p>
    <w:p>
      <w:pPr>
        <w:jc w:val="left"/>
        <w:rPr>
          <w:rFonts w:hint="eastAsia"/>
        </w:rPr>
      </w:pPr>
      <w:r>
        <w:drawing>
          <wp:inline distT="0" distB="0" distL="114300" distR="114300">
            <wp:extent cx="5268595" cy="2616835"/>
            <wp:effectExtent l="0" t="0" r="14605" b="24765"/>
            <wp:docPr id="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hint="eastAsia"/>
        </w:rPr>
      </w:pPr>
      <w:bookmarkStart w:id="3" w:name="_Toc21120"/>
      <w:bookmarkStart w:id="4" w:name="_Toc476"/>
      <w:r>
        <w:rPr>
          <w:rFonts w:hint="eastAsia"/>
        </w:rPr>
        <w:t>个人</w:t>
      </w:r>
      <w:bookmarkEnd w:id="3"/>
      <w:r>
        <w:rPr>
          <w:rFonts w:hint="eastAsia"/>
        </w:rPr>
        <w:t>设置</w:t>
      </w:r>
      <w:bookmarkEnd w:id="4"/>
    </w:p>
    <w:p>
      <w:pPr>
        <w:pStyle w:val="3"/>
      </w:pPr>
      <w:bookmarkStart w:id="5" w:name="_Toc9768"/>
      <w:r>
        <w:rPr>
          <w:rFonts w:hint="eastAsia"/>
        </w:rPr>
        <w:t>1、个人信息</w:t>
      </w:r>
      <w:bookmarkEnd w:id="5"/>
    </w:p>
    <w:p>
      <w:r>
        <w:rPr>
          <w:rFonts w:hint="eastAsia"/>
        </w:rPr>
        <w:t>第一步：点击左侧菜单进入“个人设置——个人信息”，这里可以填写自己的个人信息、电子签名等。</w:t>
      </w:r>
    </w:p>
    <w:p>
      <w:r>
        <w:drawing>
          <wp:inline distT="0" distB="0" distL="114300" distR="114300">
            <wp:extent cx="5269230" cy="2503805"/>
            <wp:effectExtent l="0" t="0" r="13970" b="10795"/>
            <wp:docPr id="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第二歩：所有内容填写无误后，点击“提交”按钮。</w:t>
      </w:r>
    </w:p>
    <w:p>
      <w:pPr>
        <w:pStyle w:val="3"/>
        <w:rPr>
          <w:rFonts w:hint="eastAsia"/>
        </w:rPr>
      </w:pPr>
      <w:bookmarkStart w:id="6" w:name="_Toc15111"/>
      <w:r>
        <w:rPr>
          <w:rFonts w:hint="eastAsia"/>
        </w:rPr>
        <w:t>2、安全中心</w:t>
      </w:r>
      <w:bookmarkEnd w:id="6"/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第一步：点击左侧菜单进入“个人设置——安全中心”。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第二步：可根据自己需求在“个人设置-安全中心”中进行绑定安全邮箱、绑定手机号、绑定微信、密码修改等操作。绑定后，可用于找回密码或系统登录。</w:t>
      </w:r>
    </w:p>
    <w:p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64785" cy="2598420"/>
            <wp:effectExtent l="0" t="0" r="18415" b="17780"/>
            <wp:docPr id="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hint="eastAsia" w:ascii="Calibri" w:hAnsi="Calibri" w:eastAsia="宋体" w:cs="Times New Roman"/>
          <w:lang w:val="en-US" w:eastAsia="zh-CN"/>
        </w:rPr>
      </w:pPr>
      <w:bookmarkStart w:id="7" w:name="_Toc6721"/>
      <w:bookmarkStart w:id="8" w:name="_Toc23189"/>
      <w:r>
        <w:rPr>
          <w:rFonts w:hint="eastAsia" w:ascii="Calibri" w:hAnsi="Calibri" w:eastAsia="宋体" w:cs="Times New Roman"/>
          <w:lang w:val="en-US" w:eastAsia="zh-CN"/>
        </w:rPr>
        <w:t>系统主流程及操作方法</w:t>
      </w:r>
      <w:bookmarkEnd w:id="7"/>
      <w:bookmarkEnd w:id="8"/>
      <w:r>
        <w:rPr>
          <w:rFonts w:hint="eastAsia" w:ascii="Calibri" w:hAnsi="Calibri" w:eastAsia="宋体" w:cs="Times New Roman"/>
          <w:lang w:val="en-US" w:eastAsia="zh-CN"/>
        </w:rPr>
        <w:t xml:space="preserve"> </w:t>
      </w:r>
    </w:p>
    <w:p>
      <w:pPr>
        <w:spacing w:line="276" w:lineRule="auto"/>
        <w:rPr>
          <w:rFonts w:hint="eastAsia"/>
          <w:lang w:val="en-US" w:eastAsia="zh-CN"/>
        </w:rPr>
      </w:pPr>
    </w:p>
    <w:p>
      <w:pPr>
        <w:pStyle w:val="2"/>
        <w:jc w:val="left"/>
      </w:pPr>
      <w:bookmarkStart w:id="9" w:name="_Toc30492"/>
      <w:r>
        <w:rPr>
          <w:rFonts w:hint="eastAsia"/>
          <w:u w:color="auto"/>
          <w:lang w:val="en-US" w:eastAsia="zh-CN"/>
        </w:rPr>
        <w:t>1、</w:t>
      </w:r>
      <w:r>
        <w:rPr>
          <w:u w:color="auto"/>
        </w:rPr>
        <w:t>过程管理</w:t>
      </w:r>
      <w:bookmarkEnd w:id="9"/>
    </w:p>
    <w:p>
      <w:pPr>
        <w:pStyle w:val="3"/>
        <w:jc w:val="left"/>
      </w:pPr>
      <w:bookmarkStart w:id="10" w:name="_Toc12000"/>
      <w:r>
        <w:rPr>
          <w:rFonts w:hint="eastAsia"/>
          <w:u w:color="auto"/>
          <w:lang w:val="en-US" w:eastAsia="zh-CN"/>
        </w:rPr>
        <w:t>1.1审核</w:t>
      </w:r>
      <w:r>
        <w:rPr>
          <w:u w:color="auto"/>
        </w:rPr>
        <w:t>开题报告</w:t>
      </w:r>
      <w:bookmarkEnd w:id="10"/>
    </w:p>
    <w:p>
      <w:pPr>
        <w:keepLines/>
        <w:ind w:firstLineChars="200"/>
        <w:jc w:val="left"/>
      </w:pPr>
      <w:r>
        <w:rPr>
          <w:rFonts w:ascii="宋体" w:hAnsi="宋体" w:eastAsia="宋体" w:cs="宋体"/>
          <w:sz w:val="21"/>
          <w:u w:color="auto"/>
        </w:rPr>
        <w:t>点击左侧菜单进入“过程管理”—“开题报告”—“审核开题报告”页面。</w:t>
      </w:r>
    </w:p>
    <w:p>
      <w:pPr>
        <w:keepLines/>
        <w:ind w:firstLineChars="200"/>
        <w:jc w:val="left"/>
      </w:pPr>
      <w:r>
        <w:rPr>
          <w:rFonts w:ascii="宋体" w:hAnsi="宋体" w:eastAsia="宋体" w:cs="宋体"/>
          <w:sz w:val="21"/>
          <w:u w:color="auto"/>
        </w:rPr>
        <w:t>点击“审核”按钮，进入审核详情页面，可查看填写的开题报告信息，并进行审核意见以及审核通过与不通过的选择后，点击“确定”审核完成。</w:t>
      </w:r>
    </w:p>
    <w:p>
      <w:pPr>
        <w:jc w:val="center"/>
      </w:pPr>
      <w:r>
        <w:rPr>
          <w:u w:color="auto"/>
        </w:rPr>
        <w:drawing>
          <wp:inline distT="0" distB="0" distL="0" distR="0">
            <wp:extent cx="5267325" cy="609600"/>
            <wp:effectExtent l="0" t="0" r="9525" b="0"/>
            <wp:docPr id="4" name="Drawing 1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1" descr="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u w:color="auto"/>
        </w:rPr>
        <w:drawing>
          <wp:inline distT="0" distB="0" distL="0" distR="0">
            <wp:extent cx="5267325" cy="2590800"/>
            <wp:effectExtent l="0" t="0" r="9525" b="0"/>
            <wp:docPr id="5" name="Drawing 2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2" descr="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u w:color="auto"/>
        </w:rPr>
        <w:drawing>
          <wp:inline distT="0" distB="0" distL="0" distR="0">
            <wp:extent cx="5267325" cy="3105150"/>
            <wp:effectExtent l="0" t="0" r="9525" b="0"/>
            <wp:docPr id="6" name="Drawing 3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3" descr="Generat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left"/>
      </w:pPr>
      <w:bookmarkStart w:id="11" w:name="_Toc8895"/>
      <w:r>
        <w:rPr>
          <w:rFonts w:hint="eastAsia"/>
          <w:u w:color="auto"/>
          <w:lang w:val="en-US" w:eastAsia="zh-CN"/>
        </w:rPr>
        <w:t>1.2审核</w:t>
      </w:r>
      <w:r>
        <w:rPr>
          <w:u w:color="auto"/>
        </w:rPr>
        <w:t>中期检查</w:t>
      </w:r>
      <w:bookmarkEnd w:id="11"/>
    </w:p>
    <w:p>
      <w:pPr>
        <w:keepLines/>
        <w:ind w:firstLineChars="200"/>
        <w:jc w:val="left"/>
      </w:pPr>
      <w:r>
        <w:rPr>
          <w:rFonts w:ascii="宋体" w:hAnsi="宋体" w:eastAsia="宋体" w:cs="宋体"/>
          <w:sz w:val="21"/>
          <w:u w:color="auto"/>
        </w:rPr>
        <w:t>点击左侧菜单进入“过程管理”—“中期检查”—“审核中期检查”页面。</w:t>
      </w:r>
    </w:p>
    <w:p>
      <w:pPr>
        <w:keepLines/>
        <w:ind w:firstLineChars="200"/>
        <w:jc w:val="left"/>
      </w:pPr>
      <w:r>
        <w:rPr>
          <w:rFonts w:ascii="宋体" w:hAnsi="宋体" w:eastAsia="宋体" w:cs="宋体"/>
          <w:sz w:val="21"/>
          <w:u w:color="auto"/>
        </w:rPr>
        <w:t>点击“审核”按钮，在弹出页面中，可查看提交的中期检查信息，并进行审核意见以及审核通过与不通过的选择后，点击“确定”审核完成。</w:t>
      </w:r>
    </w:p>
    <w:p>
      <w:pPr>
        <w:jc w:val="center"/>
      </w:pPr>
      <w:r>
        <w:rPr>
          <w:u w:color="auto"/>
        </w:rPr>
        <w:drawing>
          <wp:inline distT="0" distB="0" distL="0" distR="0">
            <wp:extent cx="5267325" cy="647700"/>
            <wp:effectExtent l="0" t="0" r="9525" b="0"/>
            <wp:docPr id="9" name="Drawing 4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4" descr="Generate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u w:color="auto"/>
        </w:rPr>
        <w:drawing>
          <wp:inline distT="0" distB="0" distL="0" distR="0">
            <wp:extent cx="5267325" cy="2581275"/>
            <wp:effectExtent l="0" t="0" r="9525" b="9525"/>
            <wp:docPr id="10" name="Drawing 5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5" descr="Generate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u w:color="auto"/>
        </w:rPr>
      </w:pPr>
      <w:r>
        <w:rPr>
          <w:u w:color="auto"/>
        </w:rPr>
        <w:drawing>
          <wp:inline distT="0" distB="0" distL="0" distR="0">
            <wp:extent cx="5267325" cy="3257550"/>
            <wp:effectExtent l="0" t="0" r="9525" b="0"/>
            <wp:docPr id="11" name="Drawing 6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6" descr="Generated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bookmarkStart w:id="12" w:name="_Toc27664"/>
      <w:r>
        <w:rPr>
          <w:rFonts w:hint="eastAsia"/>
          <w:lang w:val="en-US" w:eastAsia="zh-CN"/>
        </w:rPr>
        <w:t>1.3审核答辩资格审查</w:t>
      </w:r>
      <w:bookmarkEnd w:id="12"/>
    </w:p>
    <w:p>
      <w:pPr>
        <w:keepLines/>
        <w:ind w:firstLineChars="200"/>
        <w:jc w:val="left"/>
      </w:pPr>
      <w:r>
        <w:rPr>
          <w:rFonts w:ascii="宋体" w:hAnsi="宋体" w:eastAsia="宋体" w:cs="宋体"/>
          <w:sz w:val="21"/>
          <w:u w:color="auto"/>
        </w:rPr>
        <w:t>点击左侧菜单进入“过程管理”—“</w:t>
      </w:r>
      <w:r>
        <w:rPr>
          <w:rFonts w:hint="eastAsia" w:ascii="宋体" w:hAnsi="宋体" w:cs="宋体"/>
          <w:sz w:val="21"/>
          <w:u w:color="auto"/>
          <w:lang w:val="en-US" w:eastAsia="zh-CN"/>
        </w:rPr>
        <w:t>答辩资格审查</w:t>
      </w:r>
      <w:r>
        <w:rPr>
          <w:rFonts w:ascii="宋体" w:hAnsi="宋体" w:eastAsia="宋体" w:cs="宋体"/>
          <w:sz w:val="21"/>
          <w:u w:color="auto"/>
        </w:rPr>
        <w:t>”—“审核</w:t>
      </w:r>
      <w:r>
        <w:rPr>
          <w:rFonts w:hint="eastAsia" w:ascii="宋体" w:hAnsi="宋体" w:cs="宋体"/>
          <w:sz w:val="21"/>
          <w:u w:color="auto"/>
          <w:lang w:val="en-US" w:eastAsia="zh-CN"/>
        </w:rPr>
        <w:t>答辩资格审查</w:t>
      </w:r>
      <w:r>
        <w:rPr>
          <w:rFonts w:ascii="宋体" w:hAnsi="宋体" w:eastAsia="宋体" w:cs="宋体"/>
          <w:sz w:val="21"/>
          <w:u w:color="auto"/>
        </w:rPr>
        <w:t>”页面。</w:t>
      </w:r>
    </w:p>
    <w:p>
      <w:pPr>
        <w:keepLines/>
        <w:ind w:firstLineChars="200"/>
        <w:jc w:val="left"/>
      </w:pPr>
      <w:r>
        <w:rPr>
          <w:rFonts w:ascii="宋体" w:hAnsi="宋体" w:eastAsia="宋体" w:cs="宋体"/>
          <w:sz w:val="21"/>
          <w:u w:color="auto"/>
        </w:rPr>
        <w:t>点击“审核”按钮，在弹出页面中，可查看提交的</w:t>
      </w:r>
      <w:r>
        <w:rPr>
          <w:rFonts w:hint="eastAsia" w:ascii="宋体" w:hAnsi="宋体" w:cs="宋体"/>
          <w:sz w:val="21"/>
          <w:u w:color="auto"/>
          <w:lang w:val="en-US" w:eastAsia="zh-CN"/>
        </w:rPr>
        <w:t>答辩资格审查</w:t>
      </w:r>
      <w:bookmarkStart w:id="34" w:name="_GoBack"/>
      <w:bookmarkEnd w:id="34"/>
      <w:r>
        <w:rPr>
          <w:rFonts w:ascii="宋体" w:hAnsi="宋体" w:eastAsia="宋体" w:cs="宋体"/>
          <w:sz w:val="21"/>
          <w:u w:color="auto"/>
        </w:rPr>
        <w:t>信息，并进行审核意见以及审核通过与不通过的选择后，点击“确定”审核完成。</w:t>
      </w:r>
    </w:p>
    <w:p>
      <w:r>
        <w:drawing>
          <wp:inline distT="0" distB="0" distL="114300" distR="114300">
            <wp:extent cx="5266690" cy="2520950"/>
            <wp:effectExtent l="0" t="0" r="10160" b="1270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2245" cy="3131820"/>
            <wp:effectExtent l="0" t="0" r="14605" b="1143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spacing w:before="240"/>
        <w:rPr>
          <w:rFonts w:hint="eastAsia" w:ascii="Calibri" w:hAnsi="Calibri" w:eastAsia="宋体" w:cs="Times New Roman"/>
          <w:lang w:val="en-US" w:eastAsia="zh-CN"/>
        </w:rPr>
      </w:pPr>
      <w:bookmarkStart w:id="13" w:name="_Toc8366"/>
      <w:bookmarkStart w:id="14" w:name="_Toc32257"/>
      <w:r>
        <w:rPr>
          <w:rFonts w:hint="eastAsia" w:cs="Times New Roman"/>
          <w:lang w:val="en-US" w:eastAsia="zh-CN"/>
        </w:rPr>
        <w:t>四</w:t>
      </w:r>
      <w:r>
        <w:rPr>
          <w:rFonts w:hint="eastAsia" w:ascii="Calibri" w:hAnsi="Calibri" w:eastAsia="宋体" w:cs="Times New Roman"/>
          <w:lang w:val="en-US" w:eastAsia="zh-CN"/>
        </w:rPr>
        <w:t>、下载中心</w:t>
      </w:r>
      <w:bookmarkEnd w:id="13"/>
      <w:bookmarkEnd w:id="14"/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点击“下载中心”—“文件下载”，选中数据，点击”</w:t>
      </w:r>
      <w:r>
        <w:rPr>
          <w:rFonts w:hint="eastAsia" w:ascii="宋体" w:hAnsi="宋体" w:cs="宋体"/>
          <w:lang w:eastAsia="zh-CN"/>
        </w:rPr>
        <w:t>归档材料下载</w:t>
      </w:r>
      <w:r>
        <w:rPr>
          <w:rFonts w:hint="eastAsia" w:ascii="宋体" w:hAnsi="宋体" w:cs="宋体"/>
        </w:rPr>
        <w:t>“批量下载各个流程上传的文件。</w:t>
      </w:r>
    </w:p>
    <w:p>
      <w:r>
        <w:drawing>
          <wp:inline distT="0" distB="0" distL="114300" distR="114300">
            <wp:extent cx="5259070" cy="1564005"/>
            <wp:effectExtent l="0" t="0" r="24130" b="10795"/>
            <wp:docPr id="2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spacing w:before="240"/>
      </w:pPr>
      <w:bookmarkStart w:id="15" w:name="_Toc23080"/>
      <w:bookmarkStart w:id="16" w:name="_Toc10360"/>
      <w:r>
        <w:rPr>
          <w:rFonts w:hint="eastAsia"/>
          <w:lang w:val="en-US" w:eastAsia="zh-CN"/>
        </w:rPr>
        <w:t>五</w:t>
      </w:r>
      <w:r>
        <w:rPr>
          <w:rFonts w:hint="eastAsia"/>
        </w:rPr>
        <w:t>、消息管理</w:t>
      </w:r>
      <w:bookmarkEnd w:id="15"/>
      <w:bookmarkEnd w:id="16"/>
    </w:p>
    <w:p>
      <w:pPr>
        <w:pStyle w:val="3"/>
      </w:pPr>
      <w:bookmarkStart w:id="17" w:name="_Toc21507034"/>
      <w:bookmarkStart w:id="18" w:name="_Toc5161"/>
      <w:bookmarkStart w:id="19" w:name="_Toc21506725"/>
      <w:bookmarkStart w:id="20" w:name="_Toc11588"/>
      <w:bookmarkStart w:id="21" w:name="_Toc21113907"/>
      <w:bookmarkStart w:id="22" w:name="_Toc13523"/>
      <w:bookmarkStart w:id="23" w:name="_Toc21967825"/>
      <w:bookmarkStart w:id="24" w:name="_Toc4888"/>
      <w:bookmarkStart w:id="25" w:name="_Toc14609"/>
      <w:bookmarkStart w:id="26" w:name="_Toc19779"/>
      <w:bookmarkStart w:id="27" w:name="_Toc1740308402_WPSOffice_Level3"/>
      <w:bookmarkStart w:id="28" w:name="_Toc19041"/>
      <w:r>
        <w:rPr>
          <w:rFonts w:hint="eastAsia"/>
        </w:rPr>
        <w:t>1</w:t>
      </w:r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/>
        </w:rPr>
        <w:t>、站内信</w:t>
      </w:r>
      <w:bookmarkEnd w:id="24"/>
      <w:bookmarkEnd w:id="25"/>
      <w:bookmarkEnd w:id="26"/>
      <w:bookmarkEnd w:id="27"/>
      <w:bookmarkEnd w:id="28"/>
    </w:p>
    <w:p>
      <w:pPr>
        <w:spacing w:before="156" w:after="156"/>
        <w:ind w:firstLine="48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color w:val="FF0000"/>
        </w:rPr>
        <w:t>★</w:t>
      </w:r>
      <w:r>
        <w:rPr>
          <w:rFonts w:hint="eastAsia" w:ascii="宋体" w:hAnsi="宋体" w:cs="宋体"/>
          <w:color w:val="303030"/>
        </w:rPr>
        <w:t>第1步：</w:t>
      </w:r>
      <w:r>
        <w:rPr>
          <w:rFonts w:hint="eastAsia" w:ascii="宋体" w:hAnsi="宋体" w:cs="宋体"/>
        </w:rPr>
        <w:t>点击左侧菜单进入“消息管理”—“站内信”。可以进行站内信的查阅与发送。</w:t>
      </w:r>
      <w:r>
        <w:rPr>
          <w:rFonts w:ascii="宋体" w:hAnsi="宋体" w:cs="宋体"/>
        </w:rPr>
        <w:drawing>
          <wp:inline distT="0" distB="0" distL="114300" distR="114300">
            <wp:extent cx="5253990" cy="1426845"/>
            <wp:effectExtent l="0" t="0" r="3810" b="20955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29" w:name="_Toc12655"/>
      <w:bookmarkStart w:id="30" w:name="_Toc636040274_WPSOffice_Level3"/>
      <w:bookmarkStart w:id="31" w:name="_Toc23918"/>
      <w:bookmarkStart w:id="32" w:name="_Toc14049"/>
      <w:bookmarkStart w:id="33" w:name="_Toc31271"/>
      <w:r>
        <w:rPr>
          <w:rFonts w:hint="eastAsia"/>
        </w:rPr>
        <w:t>2、公告管理</w:t>
      </w:r>
      <w:bookmarkEnd w:id="29"/>
      <w:bookmarkEnd w:id="30"/>
      <w:bookmarkEnd w:id="31"/>
      <w:bookmarkEnd w:id="32"/>
      <w:bookmarkEnd w:id="33"/>
    </w:p>
    <w:p>
      <w:pPr>
        <w:spacing w:before="120" w:after="120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FF0000"/>
        </w:rPr>
        <w:t>★</w:t>
      </w:r>
      <w:r>
        <w:rPr>
          <w:rFonts w:hint="eastAsia" w:ascii="宋体" w:hAnsi="宋体" w:cs="宋体"/>
          <w:color w:val="303030"/>
        </w:rPr>
        <w:t>第1步：</w:t>
      </w:r>
      <w:r>
        <w:rPr>
          <w:rFonts w:hint="eastAsia" w:ascii="宋体" w:hAnsi="宋体" w:cs="宋体"/>
        </w:rPr>
        <w:t>点击左侧菜单进入“消息管理”—“公告管理”。可以查看学校学院发布公告内容。</w:t>
      </w:r>
    </w:p>
    <w:p>
      <w:pPr>
        <w:spacing w:before="120" w:after="120"/>
        <w:rPr>
          <w:rFonts w:hint="eastAsia" w:ascii="宋体" w:hAnsi="宋体" w:cs="宋体"/>
        </w:rPr>
      </w:pPr>
      <w:r>
        <w:rPr>
          <w:rFonts w:ascii="宋体" w:hAnsi="宋体" w:cs="宋体"/>
        </w:rPr>
        <w:drawing>
          <wp:inline distT="0" distB="0" distL="114300" distR="114300">
            <wp:extent cx="5262245" cy="2000885"/>
            <wp:effectExtent l="0" t="0" r="20955" b="5715"/>
            <wp:docPr id="2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9679D"/>
    <w:multiLevelType w:val="multilevel"/>
    <w:tmpl w:val="31F9679D"/>
    <w:lvl w:ilvl="0" w:tentative="0">
      <w:start w:val="1"/>
      <w:numFmt w:val="japaneseCounting"/>
      <w:lvlText w:val="%1、"/>
      <w:lvlJc w:val="left"/>
      <w:pPr>
        <w:ind w:left="1042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YjdiZDQ5MjhmYWEwNmI0MWJmOGRlMWQwMjc0MGUifQ=="/>
  </w:docVars>
  <w:rsids>
    <w:rsidRoot w:val="5FE02B0A"/>
    <w:rsid w:val="00023261"/>
    <w:rsid w:val="000304D9"/>
    <w:rsid w:val="00041EC8"/>
    <w:rsid w:val="0004525E"/>
    <w:rsid w:val="00080EEA"/>
    <w:rsid w:val="000A2742"/>
    <w:rsid w:val="000D3AC7"/>
    <w:rsid w:val="00110281"/>
    <w:rsid w:val="0012640F"/>
    <w:rsid w:val="00134937"/>
    <w:rsid w:val="00164D25"/>
    <w:rsid w:val="00187198"/>
    <w:rsid w:val="001B13DD"/>
    <w:rsid w:val="001B2917"/>
    <w:rsid w:val="00215B72"/>
    <w:rsid w:val="00216D1F"/>
    <w:rsid w:val="00290F07"/>
    <w:rsid w:val="002C6CC8"/>
    <w:rsid w:val="002D20B5"/>
    <w:rsid w:val="002D3640"/>
    <w:rsid w:val="002E6342"/>
    <w:rsid w:val="002F0FB6"/>
    <w:rsid w:val="00321CED"/>
    <w:rsid w:val="00376A1B"/>
    <w:rsid w:val="00383167"/>
    <w:rsid w:val="00390E82"/>
    <w:rsid w:val="003C62A3"/>
    <w:rsid w:val="003D22B5"/>
    <w:rsid w:val="003D4710"/>
    <w:rsid w:val="003D705D"/>
    <w:rsid w:val="003F0796"/>
    <w:rsid w:val="003F75CF"/>
    <w:rsid w:val="0041323F"/>
    <w:rsid w:val="00441424"/>
    <w:rsid w:val="00441C9E"/>
    <w:rsid w:val="00454505"/>
    <w:rsid w:val="00486E97"/>
    <w:rsid w:val="00491A15"/>
    <w:rsid w:val="004952BE"/>
    <w:rsid w:val="004A24DF"/>
    <w:rsid w:val="004A42BE"/>
    <w:rsid w:val="004C5D4B"/>
    <w:rsid w:val="004D3A02"/>
    <w:rsid w:val="004D76B3"/>
    <w:rsid w:val="004E2611"/>
    <w:rsid w:val="004E639E"/>
    <w:rsid w:val="0050291F"/>
    <w:rsid w:val="00511ACF"/>
    <w:rsid w:val="005305D3"/>
    <w:rsid w:val="005501DF"/>
    <w:rsid w:val="00590BBF"/>
    <w:rsid w:val="005B35C4"/>
    <w:rsid w:val="005D3A65"/>
    <w:rsid w:val="005D7489"/>
    <w:rsid w:val="0066524E"/>
    <w:rsid w:val="00682F60"/>
    <w:rsid w:val="006842BB"/>
    <w:rsid w:val="0068767B"/>
    <w:rsid w:val="006F7953"/>
    <w:rsid w:val="00706E2C"/>
    <w:rsid w:val="00716B0A"/>
    <w:rsid w:val="007569B5"/>
    <w:rsid w:val="00762975"/>
    <w:rsid w:val="007751E2"/>
    <w:rsid w:val="00783B6A"/>
    <w:rsid w:val="00795459"/>
    <w:rsid w:val="007A3406"/>
    <w:rsid w:val="007A6906"/>
    <w:rsid w:val="008176BE"/>
    <w:rsid w:val="00832765"/>
    <w:rsid w:val="008352FC"/>
    <w:rsid w:val="0083608A"/>
    <w:rsid w:val="00857F26"/>
    <w:rsid w:val="008747B4"/>
    <w:rsid w:val="00896AD7"/>
    <w:rsid w:val="008B4D48"/>
    <w:rsid w:val="008C3852"/>
    <w:rsid w:val="008E0D78"/>
    <w:rsid w:val="008E7CD3"/>
    <w:rsid w:val="00906D40"/>
    <w:rsid w:val="00926973"/>
    <w:rsid w:val="00935E69"/>
    <w:rsid w:val="00962DD5"/>
    <w:rsid w:val="009666BC"/>
    <w:rsid w:val="00974BBE"/>
    <w:rsid w:val="009D4674"/>
    <w:rsid w:val="009D67F0"/>
    <w:rsid w:val="00A00EAF"/>
    <w:rsid w:val="00A77943"/>
    <w:rsid w:val="00A830CE"/>
    <w:rsid w:val="00A87F74"/>
    <w:rsid w:val="00AA4694"/>
    <w:rsid w:val="00AB3833"/>
    <w:rsid w:val="00AF1DED"/>
    <w:rsid w:val="00B55CCB"/>
    <w:rsid w:val="00B85A72"/>
    <w:rsid w:val="00C52741"/>
    <w:rsid w:val="00CA1238"/>
    <w:rsid w:val="00CB31A7"/>
    <w:rsid w:val="00CD7635"/>
    <w:rsid w:val="00CF2C04"/>
    <w:rsid w:val="00D52373"/>
    <w:rsid w:val="00D6218C"/>
    <w:rsid w:val="00D76EEB"/>
    <w:rsid w:val="00D804E6"/>
    <w:rsid w:val="00D9685B"/>
    <w:rsid w:val="00DC5E6F"/>
    <w:rsid w:val="00DC7FD4"/>
    <w:rsid w:val="00DD481A"/>
    <w:rsid w:val="00E00EA0"/>
    <w:rsid w:val="00E711C9"/>
    <w:rsid w:val="00E86084"/>
    <w:rsid w:val="00EC5FD3"/>
    <w:rsid w:val="00EE7696"/>
    <w:rsid w:val="00F1464A"/>
    <w:rsid w:val="00F62B24"/>
    <w:rsid w:val="00FA1A34"/>
    <w:rsid w:val="00FC2DEB"/>
    <w:rsid w:val="00FF22CE"/>
    <w:rsid w:val="017E0CD4"/>
    <w:rsid w:val="01910A08"/>
    <w:rsid w:val="01973B44"/>
    <w:rsid w:val="01A3073B"/>
    <w:rsid w:val="01AE15BA"/>
    <w:rsid w:val="01AF179F"/>
    <w:rsid w:val="01D32DCE"/>
    <w:rsid w:val="01E90EB0"/>
    <w:rsid w:val="01FD609D"/>
    <w:rsid w:val="02182ED7"/>
    <w:rsid w:val="023C4E17"/>
    <w:rsid w:val="023F2212"/>
    <w:rsid w:val="024141DC"/>
    <w:rsid w:val="02427F54"/>
    <w:rsid w:val="02612B5C"/>
    <w:rsid w:val="02B20C36"/>
    <w:rsid w:val="02E42DB9"/>
    <w:rsid w:val="033E696D"/>
    <w:rsid w:val="034D095E"/>
    <w:rsid w:val="0361440A"/>
    <w:rsid w:val="03B60BF9"/>
    <w:rsid w:val="03C274DB"/>
    <w:rsid w:val="03F82FC0"/>
    <w:rsid w:val="042F62B6"/>
    <w:rsid w:val="044B7594"/>
    <w:rsid w:val="044C6E68"/>
    <w:rsid w:val="047C599F"/>
    <w:rsid w:val="047F0FEB"/>
    <w:rsid w:val="052A53FB"/>
    <w:rsid w:val="05452235"/>
    <w:rsid w:val="05544226"/>
    <w:rsid w:val="06087AF2"/>
    <w:rsid w:val="061B11E8"/>
    <w:rsid w:val="062E0F1B"/>
    <w:rsid w:val="06654211"/>
    <w:rsid w:val="067B1C86"/>
    <w:rsid w:val="06B6300F"/>
    <w:rsid w:val="06BA4485"/>
    <w:rsid w:val="06DE46EF"/>
    <w:rsid w:val="06FC2DC7"/>
    <w:rsid w:val="074A1D85"/>
    <w:rsid w:val="078132CC"/>
    <w:rsid w:val="07866B35"/>
    <w:rsid w:val="07B7538F"/>
    <w:rsid w:val="07D21D7A"/>
    <w:rsid w:val="07FB6BDB"/>
    <w:rsid w:val="08060514"/>
    <w:rsid w:val="08381BDD"/>
    <w:rsid w:val="08624EAC"/>
    <w:rsid w:val="087B5F6E"/>
    <w:rsid w:val="088A7F5F"/>
    <w:rsid w:val="08F875BE"/>
    <w:rsid w:val="091A7535"/>
    <w:rsid w:val="094445B2"/>
    <w:rsid w:val="0969226A"/>
    <w:rsid w:val="09B434E5"/>
    <w:rsid w:val="09B72FD5"/>
    <w:rsid w:val="09DC2A3C"/>
    <w:rsid w:val="09F528BA"/>
    <w:rsid w:val="0A310FDA"/>
    <w:rsid w:val="0A9652E1"/>
    <w:rsid w:val="0AC0235E"/>
    <w:rsid w:val="0B7C44D7"/>
    <w:rsid w:val="0BF16C73"/>
    <w:rsid w:val="0C2B68DC"/>
    <w:rsid w:val="0C825B1D"/>
    <w:rsid w:val="0CDB347F"/>
    <w:rsid w:val="0CE045F1"/>
    <w:rsid w:val="0D240982"/>
    <w:rsid w:val="0D9F26FE"/>
    <w:rsid w:val="0DB241E0"/>
    <w:rsid w:val="0DE14AC5"/>
    <w:rsid w:val="0DFE5677"/>
    <w:rsid w:val="0E0B1B42"/>
    <w:rsid w:val="0EC817E1"/>
    <w:rsid w:val="0EE20AF5"/>
    <w:rsid w:val="0F052A35"/>
    <w:rsid w:val="0F307AB2"/>
    <w:rsid w:val="0F3D21CF"/>
    <w:rsid w:val="0F5D461F"/>
    <w:rsid w:val="0FE16FFE"/>
    <w:rsid w:val="1002449F"/>
    <w:rsid w:val="108C5BB3"/>
    <w:rsid w:val="10B93AD7"/>
    <w:rsid w:val="10BD35C7"/>
    <w:rsid w:val="10F13271"/>
    <w:rsid w:val="11000BEA"/>
    <w:rsid w:val="11186A50"/>
    <w:rsid w:val="11203B56"/>
    <w:rsid w:val="11252F1A"/>
    <w:rsid w:val="112E0021"/>
    <w:rsid w:val="11951E4E"/>
    <w:rsid w:val="11BD75F7"/>
    <w:rsid w:val="11E44B84"/>
    <w:rsid w:val="12323B41"/>
    <w:rsid w:val="12661A3D"/>
    <w:rsid w:val="12802AFE"/>
    <w:rsid w:val="13225964"/>
    <w:rsid w:val="13B30CB1"/>
    <w:rsid w:val="13B62550"/>
    <w:rsid w:val="13C7650B"/>
    <w:rsid w:val="13E26EA1"/>
    <w:rsid w:val="14643D5A"/>
    <w:rsid w:val="14C173FE"/>
    <w:rsid w:val="14C50C9C"/>
    <w:rsid w:val="14C64A14"/>
    <w:rsid w:val="151D2886"/>
    <w:rsid w:val="15B12FCF"/>
    <w:rsid w:val="15C56A7A"/>
    <w:rsid w:val="15FA0CD7"/>
    <w:rsid w:val="169C3C7F"/>
    <w:rsid w:val="169F551D"/>
    <w:rsid w:val="16A11295"/>
    <w:rsid w:val="16F5338F"/>
    <w:rsid w:val="17544559"/>
    <w:rsid w:val="177C13BA"/>
    <w:rsid w:val="17F81389"/>
    <w:rsid w:val="17FF6273"/>
    <w:rsid w:val="18407477"/>
    <w:rsid w:val="18583BD5"/>
    <w:rsid w:val="186D58D3"/>
    <w:rsid w:val="18834126"/>
    <w:rsid w:val="189F1804"/>
    <w:rsid w:val="18A24E51"/>
    <w:rsid w:val="18D314AE"/>
    <w:rsid w:val="18F002B2"/>
    <w:rsid w:val="18FA2EDF"/>
    <w:rsid w:val="19063631"/>
    <w:rsid w:val="191A70DD"/>
    <w:rsid w:val="193957B5"/>
    <w:rsid w:val="193E726F"/>
    <w:rsid w:val="19614D0C"/>
    <w:rsid w:val="19A277FE"/>
    <w:rsid w:val="19B117EF"/>
    <w:rsid w:val="19B337B9"/>
    <w:rsid w:val="19C332D1"/>
    <w:rsid w:val="19C534ED"/>
    <w:rsid w:val="19C77265"/>
    <w:rsid w:val="19F31E08"/>
    <w:rsid w:val="1A6745A4"/>
    <w:rsid w:val="1AAE21D3"/>
    <w:rsid w:val="1AD27C6F"/>
    <w:rsid w:val="1ADA6B24"/>
    <w:rsid w:val="1AF5395E"/>
    <w:rsid w:val="1AFA71C6"/>
    <w:rsid w:val="1B252495"/>
    <w:rsid w:val="1B373F76"/>
    <w:rsid w:val="1B395F40"/>
    <w:rsid w:val="1BAA0BEC"/>
    <w:rsid w:val="1BC25F36"/>
    <w:rsid w:val="1BE22134"/>
    <w:rsid w:val="1C0227D6"/>
    <w:rsid w:val="1C69015F"/>
    <w:rsid w:val="1CD6156D"/>
    <w:rsid w:val="1D821DA3"/>
    <w:rsid w:val="1E032835"/>
    <w:rsid w:val="1E114F52"/>
    <w:rsid w:val="1E2527AC"/>
    <w:rsid w:val="1E8F5E77"/>
    <w:rsid w:val="1EB63404"/>
    <w:rsid w:val="1EBB4EBE"/>
    <w:rsid w:val="1ECB5101"/>
    <w:rsid w:val="1F29296D"/>
    <w:rsid w:val="1F69491A"/>
    <w:rsid w:val="1FC009DE"/>
    <w:rsid w:val="1FE3647B"/>
    <w:rsid w:val="20112FE8"/>
    <w:rsid w:val="20337402"/>
    <w:rsid w:val="20384A18"/>
    <w:rsid w:val="20517888"/>
    <w:rsid w:val="20AC0F62"/>
    <w:rsid w:val="20BE47F2"/>
    <w:rsid w:val="21350F58"/>
    <w:rsid w:val="21731A80"/>
    <w:rsid w:val="21B55BF5"/>
    <w:rsid w:val="21C83B7A"/>
    <w:rsid w:val="2268710B"/>
    <w:rsid w:val="228A7081"/>
    <w:rsid w:val="22BA3F45"/>
    <w:rsid w:val="22CA1B74"/>
    <w:rsid w:val="22D64075"/>
    <w:rsid w:val="22E91FFA"/>
    <w:rsid w:val="235C0A1E"/>
    <w:rsid w:val="236B6EB3"/>
    <w:rsid w:val="23AD1279"/>
    <w:rsid w:val="23B95E70"/>
    <w:rsid w:val="24480FA2"/>
    <w:rsid w:val="2452748C"/>
    <w:rsid w:val="245A2A83"/>
    <w:rsid w:val="246851A0"/>
    <w:rsid w:val="249146F7"/>
    <w:rsid w:val="249917FE"/>
    <w:rsid w:val="24DB0068"/>
    <w:rsid w:val="25302162"/>
    <w:rsid w:val="253357AE"/>
    <w:rsid w:val="258949F8"/>
    <w:rsid w:val="25D80104"/>
    <w:rsid w:val="2628108B"/>
    <w:rsid w:val="26712A32"/>
    <w:rsid w:val="267C13D7"/>
    <w:rsid w:val="26C1503C"/>
    <w:rsid w:val="26F92A28"/>
    <w:rsid w:val="26FE1DEC"/>
    <w:rsid w:val="272F1FA5"/>
    <w:rsid w:val="275F6D2E"/>
    <w:rsid w:val="277125BE"/>
    <w:rsid w:val="279664C8"/>
    <w:rsid w:val="27BF157B"/>
    <w:rsid w:val="27D33279"/>
    <w:rsid w:val="27ED6B9C"/>
    <w:rsid w:val="27F51441"/>
    <w:rsid w:val="28304227"/>
    <w:rsid w:val="283755B5"/>
    <w:rsid w:val="2858591E"/>
    <w:rsid w:val="288400CF"/>
    <w:rsid w:val="28A569C3"/>
    <w:rsid w:val="28CD7CC8"/>
    <w:rsid w:val="28EA087A"/>
    <w:rsid w:val="290F6532"/>
    <w:rsid w:val="291678C1"/>
    <w:rsid w:val="29345F99"/>
    <w:rsid w:val="29543F45"/>
    <w:rsid w:val="296A3769"/>
    <w:rsid w:val="299F1664"/>
    <w:rsid w:val="29E03A2B"/>
    <w:rsid w:val="2A102562"/>
    <w:rsid w:val="2AA64C74"/>
    <w:rsid w:val="2AB56C65"/>
    <w:rsid w:val="2AEB3C5A"/>
    <w:rsid w:val="2AEC6B2B"/>
    <w:rsid w:val="2B011EAB"/>
    <w:rsid w:val="2B193698"/>
    <w:rsid w:val="2B536BAA"/>
    <w:rsid w:val="2B6366C1"/>
    <w:rsid w:val="2B876854"/>
    <w:rsid w:val="2C3562B0"/>
    <w:rsid w:val="2C633EB8"/>
    <w:rsid w:val="2C673F8F"/>
    <w:rsid w:val="2C7E7C57"/>
    <w:rsid w:val="2CCF04B2"/>
    <w:rsid w:val="2D1E0AF2"/>
    <w:rsid w:val="2D256324"/>
    <w:rsid w:val="2D285E15"/>
    <w:rsid w:val="2D652BC5"/>
    <w:rsid w:val="2D9139BA"/>
    <w:rsid w:val="2D9D410D"/>
    <w:rsid w:val="2E1122DB"/>
    <w:rsid w:val="2E3507E9"/>
    <w:rsid w:val="2EB21E3A"/>
    <w:rsid w:val="2EBD433B"/>
    <w:rsid w:val="2F300FB0"/>
    <w:rsid w:val="2F3C7955"/>
    <w:rsid w:val="2F522CD5"/>
    <w:rsid w:val="2F7B66D0"/>
    <w:rsid w:val="2F837A4C"/>
    <w:rsid w:val="2F9A71B5"/>
    <w:rsid w:val="2FDD2EE6"/>
    <w:rsid w:val="2FEF2C1A"/>
    <w:rsid w:val="30406FD1"/>
    <w:rsid w:val="304312C5"/>
    <w:rsid w:val="30C95219"/>
    <w:rsid w:val="30E81B43"/>
    <w:rsid w:val="3135465C"/>
    <w:rsid w:val="313A6116"/>
    <w:rsid w:val="3148438F"/>
    <w:rsid w:val="314E571E"/>
    <w:rsid w:val="31701B38"/>
    <w:rsid w:val="31C003CA"/>
    <w:rsid w:val="320E7B77"/>
    <w:rsid w:val="325F4087"/>
    <w:rsid w:val="32713DBA"/>
    <w:rsid w:val="332B5D17"/>
    <w:rsid w:val="33977850"/>
    <w:rsid w:val="33D740F0"/>
    <w:rsid w:val="342842DC"/>
    <w:rsid w:val="342E1F62"/>
    <w:rsid w:val="344829C9"/>
    <w:rsid w:val="34790D04"/>
    <w:rsid w:val="34AE30A3"/>
    <w:rsid w:val="350E769E"/>
    <w:rsid w:val="3550415A"/>
    <w:rsid w:val="358D2CB9"/>
    <w:rsid w:val="35E548A3"/>
    <w:rsid w:val="35EB79DF"/>
    <w:rsid w:val="35F25212"/>
    <w:rsid w:val="35F92264"/>
    <w:rsid w:val="36317AE8"/>
    <w:rsid w:val="363B0967"/>
    <w:rsid w:val="36996E83"/>
    <w:rsid w:val="36D36DF1"/>
    <w:rsid w:val="36F34D9D"/>
    <w:rsid w:val="37427AD3"/>
    <w:rsid w:val="379C3687"/>
    <w:rsid w:val="38194CD8"/>
    <w:rsid w:val="388C36FB"/>
    <w:rsid w:val="38B60778"/>
    <w:rsid w:val="38BF587F"/>
    <w:rsid w:val="38CC3AF8"/>
    <w:rsid w:val="38FB262F"/>
    <w:rsid w:val="3902576C"/>
    <w:rsid w:val="391D07F7"/>
    <w:rsid w:val="39203E44"/>
    <w:rsid w:val="39534219"/>
    <w:rsid w:val="39663F4D"/>
    <w:rsid w:val="39C46EC5"/>
    <w:rsid w:val="39E11825"/>
    <w:rsid w:val="39FF0CD8"/>
    <w:rsid w:val="3A175247"/>
    <w:rsid w:val="3A2D05C6"/>
    <w:rsid w:val="3A2F07E2"/>
    <w:rsid w:val="3A3000B7"/>
    <w:rsid w:val="3A63223A"/>
    <w:rsid w:val="3A8328DC"/>
    <w:rsid w:val="3A856654"/>
    <w:rsid w:val="3A9C574C"/>
    <w:rsid w:val="3A9E3272"/>
    <w:rsid w:val="3AD76784"/>
    <w:rsid w:val="3ADE5D64"/>
    <w:rsid w:val="3AEA295B"/>
    <w:rsid w:val="3B457B92"/>
    <w:rsid w:val="3B53405D"/>
    <w:rsid w:val="3BAC5E63"/>
    <w:rsid w:val="3BCC2061"/>
    <w:rsid w:val="3BF82E56"/>
    <w:rsid w:val="3BFF41E4"/>
    <w:rsid w:val="3BFF5F92"/>
    <w:rsid w:val="3C526A0A"/>
    <w:rsid w:val="3C5462DE"/>
    <w:rsid w:val="3C577B7C"/>
    <w:rsid w:val="3C7F70D3"/>
    <w:rsid w:val="3CAA4150"/>
    <w:rsid w:val="3CF63839"/>
    <w:rsid w:val="3D12278C"/>
    <w:rsid w:val="3D136199"/>
    <w:rsid w:val="3D6E1622"/>
    <w:rsid w:val="3D711112"/>
    <w:rsid w:val="3D74475E"/>
    <w:rsid w:val="3D9F527F"/>
    <w:rsid w:val="3DB86D41"/>
    <w:rsid w:val="3DEA7081"/>
    <w:rsid w:val="3E154DA9"/>
    <w:rsid w:val="3E546A69"/>
    <w:rsid w:val="3E7E3AE6"/>
    <w:rsid w:val="3EC3774B"/>
    <w:rsid w:val="3ED23E32"/>
    <w:rsid w:val="3EE01103"/>
    <w:rsid w:val="3EE651E8"/>
    <w:rsid w:val="3FC217B1"/>
    <w:rsid w:val="3FE652DA"/>
    <w:rsid w:val="401C35B7"/>
    <w:rsid w:val="403501D5"/>
    <w:rsid w:val="40BE641C"/>
    <w:rsid w:val="40D07EFD"/>
    <w:rsid w:val="41232723"/>
    <w:rsid w:val="41AA4BF2"/>
    <w:rsid w:val="41B255C8"/>
    <w:rsid w:val="41D41C6F"/>
    <w:rsid w:val="42165DE4"/>
    <w:rsid w:val="426B4382"/>
    <w:rsid w:val="426D634C"/>
    <w:rsid w:val="42755200"/>
    <w:rsid w:val="42A81132"/>
    <w:rsid w:val="42C341BE"/>
    <w:rsid w:val="42D00689"/>
    <w:rsid w:val="43192030"/>
    <w:rsid w:val="431F6F1A"/>
    <w:rsid w:val="43B41D58"/>
    <w:rsid w:val="43B9736F"/>
    <w:rsid w:val="43CA332A"/>
    <w:rsid w:val="440E1469"/>
    <w:rsid w:val="441822E7"/>
    <w:rsid w:val="44185E43"/>
    <w:rsid w:val="442E1B0B"/>
    <w:rsid w:val="444E3F5B"/>
    <w:rsid w:val="4464552C"/>
    <w:rsid w:val="446B68BB"/>
    <w:rsid w:val="44A26055"/>
    <w:rsid w:val="44E272A8"/>
    <w:rsid w:val="44EF3FD1"/>
    <w:rsid w:val="457C0654"/>
    <w:rsid w:val="45B55914"/>
    <w:rsid w:val="45C2075D"/>
    <w:rsid w:val="464473C4"/>
    <w:rsid w:val="469D2F78"/>
    <w:rsid w:val="46DA1AD6"/>
    <w:rsid w:val="46FC1A4C"/>
    <w:rsid w:val="47190850"/>
    <w:rsid w:val="47721D0E"/>
    <w:rsid w:val="47BF7590"/>
    <w:rsid w:val="47EF335F"/>
    <w:rsid w:val="487D6BBD"/>
    <w:rsid w:val="490B5F77"/>
    <w:rsid w:val="49736367"/>
    <w:rsid w:val="49C66341"/>
    <w:rsid w:val="49DB1DED"/>
    <w:rsid w:val="49FE5ADB"/>
    <w:rsid w:val="4A0155CC"/>
    <w:rsid w:val="4AA448D5"/>
    <w:rsid w:val="4B1732F9"/>
    <w:rsid w:val="4BA3693A"/>
    <w:rsid w:val="4BC93EC7"/>
    <w:rsid w:val="4BD50ABE"/>
    <w:rsid w:val="4BEA27BB"/>
    <w:rsid w:val="4C147838"/>
    <w:rsid w:val="4C6521D2"/>
    <w:rsid w:val="4C786019"/>
    <w:rsid w:val="4D4E28D6"/>
    <w:rsid w:val="4D722A68"/>
    <w:rsid w:val="4DAF7C6A"/>
    <w:rsid w:val="4E451F2B"/>
    <w:rsid w:val="4E775E5C"/>
    <w:rsid w:val="4E994025"/>
    <w:rsid w:val="4EEF633A"/>
    <w:rsid w:val="4F2E6E63"/>
    <w:rsid w:val="4F322AC9"/>
    <w:rsid w:val="4FA709C3"/>
    <w:rsid w:val="4FD5531F"/>
    <w:rsid w:val="4FDC68BF"/>
    <w:rsid w:val="501F0559"/>
    <w:rsid w:val="50354221"/>
    <w:rsid w:val="5038161B"/>
    <w:rsid w:val="50C01D3C"/>
    <w:rsid w:val="50D8235D"/>
    <w:rsid w:val="51423EF1"/>
    <w:rsid w:val="51450494"/>
    <w:rsid w:val="51491D32"/>
    <w:rsid w:val="5156444F"/>
    <w:rsid w:val="51AC0513"/>
    <w:rsid w:val="51C413B8"/>
    <w:rsid w:val="51ED5BEA"/>
    <w:rsid w:val="52021EE1"/>
    <w:rsid w:val="522E0F28"/>
    <w:rsid w:val="522E717A"/>
    <w:rsid w:val="52416EAD"/>
    <w:rsid w:val="52A336C4"/>
    <w:rsid w:val="52F67C97"/>
    <w:rsid w:val="53146370"/>
    <w:rsid w:val="53486019"/>
    <w:rsid w:val="5349426B"/>
    <w:rsid w:val="538F3C48"/>
    <w:rsid w:val="539574B0"/>
    <w:rsid w:val="53A771E4"/>
    <w:rsid w:val="53CC6C4A"/>
    <w:rsid w:val="53EE096F"/>
    <w:rsid w:val="53FF492A"/>
    <w:rsid w:val="544762D1"/>
    <w:rsid w:val="54505185"/>
    <w:rsid w:val="545253A1"/>
    <w:rsid w:val="5495703C"/>
    <w:rsid w:val="54992FD0"/>
    <w:rsid w:val="54D9161F"/>
    <w:rsid w:val="54F46459"/>
    <w:rsid w:val="552C5BF2"/>
    <w:rsid w:val="552C79A0"/>
    <w:rsid w:val="55425416"/>
    <w:rsid w:val="55570796"/>
    <w:rsid w:val="55807CEC"/>
    <w:rsid w:val="55B87486"/>
    <w:rsid w:val="561C5C67"/>
    <w:rsid w:val="5621327D"/>
    <w:rsid w:val="56486A5C"/>
    <w:rsid w:val="56867584"/>
    <w:rsid w:val="56A17F1A"/>
    <w:rsid w:val="57560D05"/>
    <w:rsid w:val="57684EDC"/>
    <w:rsid w:val="57727B09"/>
    <w:rsid w:val="578A30A4"/>
    <w:rsid w:val="57A557E8"/>
    <w:rsid w:val="58044C05"/>
    <w:rsid w:val="580C3AB9"/>
    <w:rsid w:val="582E3A30"/>
    <w:rsid w:val="584E5E80"/>
    <w:rsid w:val="58977827"/>
    <w:rsid w:val="58D97E3F"/>
    <w:rsid w:val="59034EBC"/>
    <w:rsid w:val="591946E0"/>
    <w:rsid w:val="593E4146"/>
    <w:rsid w:val="59417793"/>
    <w:rsid w:val="59441031"/>
    <w:rsid w:val="594B0611"/>
    <w:rsid w:val="59561490"/>
    <w:rsid w:val="599124C8"/>
    <w:rsid w:val="59C06909"/>
    <w:rsid w:val="59E20F76"/>
    <w:rsid w:val="59FA62BF"/>
    <w:rsid w:val="5AB75F5E"/>
    <w:rsid w:val="5B953DC6"/>
    <w:rsid w:val="5C076A71"/>
    <w:rsid w:val="5C2C297C"/>
    <w:rsid w:val="5C45759A"/>
    <w:rsid w:val="5C593045"/>
    <w:rsid w:val="5C700ABB"/>
    <w:rsid w:val="5CDF354A"/>
    <w:rsid w:val="5D0C00B7"/>
    <w:rsid w:val="5D83481E"/>
    <w:rsid w:val="5D9663F4"/>
    <w:rsid w:val="5DBB3FB7"/>
    <w:rsid w:val="5E135BA1"/>
    <w:rsid w:val="5E1E4546"/>
    <w:rsid w:val="5E2356B9"/>
    <w:rsid w:val="5E5D6E1D"/>
    <w:rsid w:val="5E710B1A"/>
    <w:rsid w:val="5EBF3633"/>
    <w:rsid w:val="5EFE2B01"/>
    <w:rsid w:val="5F1576F7"/>
    <w:rsid w:val="5FC81A4F"/>
    <w:rsid w:val="5FE02B0A"/>
    <w:rsid w:val="5FEB66AA"/>
    <w:rsid w:val="5FFB68ED"/>
    <w:rsid w:val="60340051"/>
    <w:rsid w:val="60453C66"/>
    <w:rsid w:val="607246D5"/>
    <w:rsid w:val="60793CB6"/>
    <w:rsid w:val="614E0C9F"/>
    <w:rsid w:val="616E1341"/>
    <w:rsid w:val="61B50D1E"/>
    <w:rsid w:val="623B56C7"/>
    <w:rsid w:val="628958C8"/>
    <w:rsid w:val="62D358FF"/>
    <w:rsid w:val="63611187"/>
    <w:rsid w:val="63ED29F1"/>
    <w:rsid w:val="63F9195E"/>
    <w:rsid w:val="642F4DB7"/>
    <w:rsid w:val="647E7AED"/>
    <w:rsid w:val="64AA6B34"/>
    <w:rsid w:val="64AD2180"/>
    <w:rsid w:val="64E060B2"/>
    <w:rsid w:val="65077AE2"/>
    <w:rsid w:val="651B60C2"/>
    <w:rsid w:val="656A1E1F"/>
    <w:rsid w:val="65775586"/>
    <w:rsid w:val="65FC6F1B"/>
    <w:rsid w:val="66546D57"/>
    <w:rsid w:val="66903B07"/>
    <w:rsid w:val="66AF21DF"/>
    <w:rsid w:val="66BD3B89"/>
    <w:rsid w:val="66FD65EC"/>
    <w:rsid w:val="671D539B"/>
    <w:rsid w:val="67931B01"/>
    <w:rsid w:val="679F04A6"/>
    <w:rsid w:val="67AE693B"/>
    <w:rsid w:val="67C1666E"/>
    <w:rsid w:val="67FF0F45"/>
    <w:rsid w:val="682E35D8"/>
    <w:rsid w:val="683706DE"/>
    <w:rsid w:val="68541290"/>
    <w:rsid w:val="689E250C"/>
    <w:rsid w:val="68C06926"/>
    <w:rsid w:val="69252C2D"/>
    <w:rsid w:val="69603C65"/>
    <w:rsid w:val="69796AD5"/>
    <w:rsid w:val="69961435"/>
    <w:rsid w:val="69A55B1C"/>
    <w:rsid w:val="69D41F5D"/>
    <w:rsid w:val="69DB32EB"/>
    <w:rsid w:val="6A0942FC"/>
    <w:rsid w:val="6A1D4C73"/>
    <w:rsid w:val="6A4E1D0F"/>
    <w:rsid w:val="6ACD532A"/>
    <w:rsid w:val="6AEA7C8A"/>
    <w:rsid w:val="6B1E7934"/>
    <w:rsid w:val="6B347157"/>
    <w:rsid w:val="6B881251"/>
    <w:rsid w:val="6BB362CE"/>
    <w:rsid w:val="6BF07522"/>
    <w:rsid w:val="6C264CF2"/>
    <w:rsid w:val="6C3513D9"/>
    <w:rsid w:val="6C6121CE"/>
    <w:rsid w:val="6D3E42BD"/>
    <w:rsid w:val="6D940381"/>
    <w:rsid w:val="6DBB590E"/>
    <w:rsid w:val="6DE50BDD"/>
    <w:rsid w:val="6DE62B47"/>
    <w:rsid w:val="6E182D60"/>
    <w:rsid w:val="6E3D6323"/>
    <w:rsid w:val="6E4F6056"/>
    <w:rsid w:val="6EC32CCC"/>
    <w:rsid w:val="6ECE1671"/>
    <w:rsid w:val="6EE175F6"/>
    <w:rsid w:val="6F6822D7"/>
    <w:rsid w:val="6F833042"/>
    <w:rsid w:val="6F9E7295"/>
    <w:rsid w:val="6FA80114"/>
    <w:rsid w:val="6FC0720B"/>
    <w:rsid w:val="704B11CB"/>
    <w:rsid w:val="705C7751"/>
    <w:rsid w:val="70FA499F"/>
    <w:rsid w:val="711517D9"/>
    <w:rsid w:val="712776CC"/>
    <w:rsid w:val="71341C5F"/>
    <w:rsid w:val="715B3690"/>
    <w:rsid w:val="71BC7EA6"/>
    <w:rsid w:val="71F15DA2"/>
    <w:rsid w:val="7218332F"/>
    <w:rsid w:val="72421725"/>
    <w:rsid w:val="726F4F19"/>
    <w:rsid w:val="72BD7A32"/>
    <w:rsid w:val="72D8486C"/>
    <w:rsid w:val="72EE22E1"/>
    <w:rsid w:val="72F13B80"/>
    <w:rsid w:val="72FA5CB5"/>
    <w:rsid w:val="72FF004B"/>
    <w:rsid w:val="735465E8"/>
    <w:rsid w:val="73993FFB"/>
    <w:rsid w:val="73C60B68"/>
    <w:rsid w:val="742F4960"/>
    <w:rsid w:val="745368A0"/>
    <w:rsid w:val="74620891"/>
    <w:rsid w:val="74F160B9"/>
    <w:rsid w:val="758E56B6"/>
    <w:rsid w:val="75C31803"/>
    <w:rsid w:val="75D51537"/>
    <w:rsid w:val="75DC4673"/>
    <w:rsid w:val="76360227"/>
    <w:rsid w:val="76465F91"/>
    <w:rsid w:val="766C3C49"/>
    <w:rsid w:val="76854D0B"/>
    <w:rsid w:val="768A0573"/>
    <w:rsid w:val="772207AC"/>
    <w:rsid w:val="7730111A"/>
    <w:rsid w:val="773C7ABF"/>
    <w:rsid w:val="775F555C"/>
    <w:rsid w:val="7772528F"/>
    <w:rsid w:val="77901BB9"/>
    <w:rsid w:val="77A43A6B"/>
    <w:rsid w:val="77E617D9"/>
    <w:rsid w:val="77EFFCF2"/>
    <w:rsid w:val="780D4FB8"/>
    <w:rsid w:val="782347DB"/>
    <w:rsid w:val="78280044"/>
    <w:rsid w:val="78680440"/>
    <w:rsid w:val="789E20B4"/>
    <w:rsid w:val="78A0407E"/>
    <w:rsid w:val="78A7540C"/>
    <w:rsid w:val="78AD18CD"/>
    <w:rsid w:val="78DD498A"/>
    <w:rsid w:val="78E71CAD"/>
    <w:rsid w:val="7924080B"/>
    <w:rsid w:val="796926C2"/>
    <w:rsid w:val="797C218B"/>
    <w:rsid w:val="79A731EA"/>
    <w:rsid w:val="79EB1329"/>
    <w:rsid w:val="7A123DB6"/>
    <w:rsid w:val="7A6B246A"/>
    <w:rsid w:val="7A8552D9"/>
    <w:rsid w:val="7ACC2F08"/>
    <w:rsid w:val="7B114DBF"/>
    <w:rsid w:val="7B4E6013"/>
    <w:rsid w:val="7B580C40"/>
    <w:rsid w:val="7B7A2964"/>
    <w:rsid w:val="7B803CF3"/>
    <w:rsid w:val="7BEECF46"/>
    <w:rsid w:val="7BF704C2"/>
    <w:rsid w:val="7C0B0F2B"/>
    <w:rsid w:val="7C945CA8"/>
    <w:rsid w:val="7CBA20AA"/>
    <w:rsid w:val="7D884CF3"/>
    <w:rsid w:val="7DC2087C"/>
    <w:rsid w:val="7E4454AB"/>
    <w:rsid w:val="7EA128FE"/>
    <w:rsid w:val="7FA97CBC"/>
    <w:rsid w:val="7FED152D"/>
    <w:rsid w:val="7FFD7E66"/>
    <w:rsid w:val="E7CA49CF"/>
    <w:rsid w:val="F7AF7F2A"/>
    <w:rsid w:val="F9FFD381"/>
    <w:rsid w:val="FDFED87C"/>
    <w:rsid w:val="FE7BB6CB"/>
    <w:rsid w:val="FEBB4D4C"/>
    <w:rsid w:val="FEFB5316"/>
    <w:rsid w:val="FF1FD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 w:eastAsia="宋体" w:cs="Times New Roman"/>
      <w:b/>
      <w:bCs/>
      <w:color w:val="000000"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autoRedefine/>
    <w:qFormat/>
    <w:uiPriority w:val="0"/>
    <w:rPr>
      <w:rFonts w:ascii="宋体"/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文档结构图 Char"/>
    <w:basedOn w:val="11"/>
    <w:link w:val="4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Char"/>
    <w:basedOn w:val="11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WPSOffice手动目录 1"/>
    <w:autoRedefine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17">
    <w:name w:val="WPSOffice手动目录 2"/>
    <w:autoRedefine/>
    <w:qFormat/>
    <w:uiPriority w:val="0"/>
    <w:pPr>
      <w:ind w:leftChars="20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2243</Words>
  <Characters>2315</Characters>
  <Lines>28</Lines>
  <Paragraphs>8</Paragraphs>
  <TotalTime>2</TotalTime>
  <ScaleCrop>false</ScaleCrop>
  <LinksUpToDate>false</LinksUpToDate>
  <CharactersWithSpaces>2353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2021-12-08T05:21:00Z</dcterms:created>
  <dc:creator>Administrator</dc:creator>
  <cp:lastModifiedBy>Rin</cp:lastModifiedBy>
  <dcterms:modified xsi:type="dcterms:W3CDTF">2024-01-22T06:33:58Z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19458F01ECA3F2725F7B5C65FB2EE914_43</vt:lpwstr>
  </property>
</Properties>
</file>