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27322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学生角色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ind w:firstLine="3000" w:firstLineChars="1000"/>
        <w:rPr>
          <w:rFonts w:hint="eastAsia"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二〇二</w:t>
      </w:r>
      <w:r>
        <w:rPr>
          <w:rFonts w:hint="eastAsia" w:ascii="宋体" w:hAnsi="宋体"/>
          <w:sz w:val="30"/>
          <w:szCs w:val="30"/>
          <w:lang w:val="en-US" w:eastAsia="zh-CN"/>
        </w:rPr>
        <w:t>四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eastAsia="zh-CN"/>
        </w:rPr>
        <w:t>一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spacing w:line="240" w:lineRule="auto"/>
        <w:jc w:val="center"/>
      </w:pPr>
      <w:r>
        <w:rPr>
          <w:rFonts w:ascii="宋体" w:hAnsi="宋体"/>
        </w:rPr>
        <w:t>目录</w:t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 w:val="30"/>
          <w:szCs w:val="30"/>
        </w:rPr>
        <w:fldChar w:fldCharType="begin"/>
      </w:r>
      <w:r>
        <w:rPr>
          <w:rFonts w:hint="eastAsia" w:ascii="宋体" w:hAnsi="宋体"/>
          <w:sz w:val="30"/>
          <w:szCs w:val="30"/>
        </w:rPr>
        <w:instrText xml:space="preserve">TOC \o "1-2" \h \u </w:instrText>
      </w:r>
      <w:r>
        <w:rPr>
          <w:rFonts w:hint="eastAsia" w:ascii="宋体" w:hAnsi="宋体"/>
          <w:sz w:val="30"/>
          <w:szCs w:val="30"/>
        </w:rPr>
        <w:fldChar w:fldCharType="separate"/>
      </w: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_Toc27322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ascii="宋体" w:hAnsi="宋体"/>
          <w:szCs w:val="52"/>
        </w:rPr>
        <w:t>用户操作手册</w:t>
      </w:r>
      <w:r>
        <w:tab/>
      </w:r>
      <w:r>
        <w:fldChar w:fldCharType="begin"/>
      </w:r>
      <w:r>
        <w:instrText xml:space="preserve"> PAGEREF _Toc27322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_Toc29329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_Toc29329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_Toc3226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_Toc3226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_Toc7683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_Toc7683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_Toc11953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_Toc11953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_Toc17304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_Toc17304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_Toc12027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1、</w:t>
      </w:r>
      <w:r>
        <w:t>选题管理</w:t>
      </w:r>
      <w:r>
        <w:tab/>
      </w:r>
      <w:r>
        <w:fldChar w:fldCharType="begin"/>
      </w:r>
      <w:r>
        <w:instrText xml:space="preserve"> PAGEREF _Toc12027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_Toc12733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1.1申报</w:t>
      </w:r>
      <w:r>
        <w:t>课题</w:t>
      </w:r>
      <w:r>
        <w:tab/>
      </w:r>
      <w:r>
        <w:fldChar w:fldCharType="begin"/>
      </w:r>
      <w:r>
        <w:instrText xml:space="preserve"> PAGEREF _Toc12733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_Toc20776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1.2申请</w:t>
      </w:r>
      <w:r>
        <w:t>课题信息变更</w:t>
      </w:r>
      <w:r>
        <w:tab/>
      </w:r>
      <w:r>
        <w:fldChar w:fldCharType="begin"/>
      </w:r>
      <w:r>
        <w:instrText xml:space="preserve"> PAGEREF _Toc20776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_Toc22664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2、</w:t>
      </w:r>
      <w:r>
        <w:t>过程管理</w:t>
      </w:r>
      <w:r>
        <w:tab/>
      </w:r>
      <w:r>
        <w:fldChar w:fldCharType="begin"/>
      </w:r>
      <w:r>
        <w:instrText xml:space="preserve"> PAGEREF _Toc22664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_Toc15218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2.1提交</w:t>
      </w:r>
      <w:r>
        <w:t>指导日志</w:t>
      </w:r>
      <w:r>
        <w:tab/>
      </w:r>
      <w:r>
        <w:fldChar w:fldCharType="begin"/>
      </w:r>
      <w:r>
        <w:instrText xml:space="preserve"> PAGEREF _Toc15218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_Toc27076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2.2提交诚信说明</w:t>
      </w:r>
      <w:r>
        <w:tab/>
      </w:r>
      <w:r>
        <w:fldChar w:fldCharType="begin"/>
      </w:r>
      <w:r>
        <w:instrText xml:space="preserve"> PAGEREF _Toc27076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_Toc21263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2.3提交前期工作进度记录</w:t>
      </w:r>
      <w:r>
        <w:tab/>
      </w:r>
      <w:r>
        <w:fldChar w:fldCharType="begin"/>
      </w:r>
      <w:r>
        <w:instrText xml:space="preserve"> PAGEREF _Toc21263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  <w:bookmarkStart w:id="46" w:name="_GoBack"/>
      <w:bookmarkEnd w:id="46"/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_Toc3609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2.4提交中期工作进度记录</w:t>
      </w:r>
      <w:r>
        <w:tab/>
      </w:r>
      <w:r>
        <w:fldChar w:fldCharType="begin"/>
      </w:r>
      <w:r>
        <w:instrText xml:space="preserve"> PAGEREF _Toc3609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_Toc15654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2.5提交后期工作进度记录</w:t>
      </w:r>
      <w:r>
        <w:tab/>
      </w:r>
      <w:r>
        <w:fldChar w:fldCharType="begin"/>
      </w:r>
      <w:r>
        <w:instrText xml:space="preserve"> PAGEREF _Toc15654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_Toc177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2.6实习材料上传</w:t>
      </w:r>
      <w:r>
        <w:tab/>
      </w:r>
      <w:r>
        <w:fldChar w:fldCharType="begin"/>
      </w:r>
      <w:r>
        <w:instrText xml:space="preserve"> PAGEREF _Toc177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_Toc12398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2.7提交</w:t>
      </w:r>
      <w:r>
        <w:t>开题报告</w:t>
      </w:r>
      <w:r>
        <w:tab/>
      </w:r>
      <w:r>
        <w:fldChar w:fldCharType="begin"/>
      </w:r>
      <w:r>
        <w:instrText xml:space="preserve"> PAGEREF _Toc12398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_Toc11466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2.8提交</w:t>
      </w:r>
      <w:r>
        <w:t>中期检查</w:t>
      </w:r>
      <w:r>
        <w:tab/>
      </w:r>
      <w:r>
        <w:fldChar w:fldCharType="begin"/>
      </w:r>
      <w:r>
        <w:instrText xml:space="preserve"> PAGEREF _Toc11466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_Toc25836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2.9提交初稿</w:t>
      </w:r>
      <w:r>
        <w:tab/>
      </w:r>
      <w:r>
        <w:fldChar w:fldCharType="begin"/>
      </w:r>
      <w:r>
        <w:instrText xml:space="preserve"> PAGEREF _Toc25836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_Toc1301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2.10提交</w:t>
      </w:r>
      <w:r>
        <w:t>答辩稿</w:t>
      </w:r>
      <w:r>
        <w:tab/>
      </w:r>
      <w:r>
        <w:fldChar w:fldCharType="begin"/>
      </w:r>
      <w:r>
        <w:instrText xml:space="preserve"> PAGEREF _Toc1301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_Toc6753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3、</w:t>
      </w:r>
      <w:r>
        <w:t>最终稿</w:t>
      </w:r>
      <w:r>
        <w:tab/>
      </w:r>
      <w:r>
        <w:fldChar w:fldCharType="begin"/>
      </w:r>
      <w:r>
        <w:instrText xml:space="preserve"> PAGEREF _Toc6753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_Toc19156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3.1提交</w:t>
      </w:r>
      <w:r>
        <w:t>最终稿</w:t>
      </w:r>
      <w:r>
        <w:tab/>
      </w:r>
      <w:r>
        <w:fldChar w:fldCharType="begin"/>
      </w:r>
      <w:r>
        <w:instrText xml:space="preserve"> PAGEREF _Toc19156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_Toc13162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_Toc13162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_Toc27405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_Toc27405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_Toc4704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_Toc4704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_Toc2652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_Toc2652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ind w:firstLine="2100" w:firstLineChars="1000"/>
        <w:rPr>
          <w:rFonts w:hint="eastAsia" w:ascii="宋体" w:hAnsi="宋体"/>
          <w:b/>
          <w:szCs w:val="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Cs w:val="30"/>
        </w:rPr>
        <w:fldChar w:fldCharType="end"/>
      </w:r>
    </w:p>
    <w:p>
      <w:pPr>
        <w:ind w:firstLine="2108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29329"/>
      <w:r>
        <w:rPr>
          <w:rFonts w:hint="eastAsia"/>
        </w:rPr>
        <w:t>系统登录</w:t>
      </w:r>
      <w:bookmarkEnd w:id="0"/>
      <w:bookmarkEnd w:id="2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打开网址https://vgms.fanyu.com/，选择学校“</w:t>
      </w:r>
      <w:r>
        <w:rPr>
          <w:rFonts w:hint="eastAsia" w:ascii="宋体" w:hAnsi="宋体" w:cs="宋体"/>
          <w:lang w:val="en-US" w:eastAsia="zh-CN"/>
        </w:rPr>
        <w:t>山东农业大学</w:t>
      </w:r>
      <w:r>
        <w:rPr>
          <w:rFonts w:hint="eastAsia" w:ascii="宋体" w:hAnsi="宋体" w:cs="宋体"/>
        </w:rPr>
        <w:t>”，输入账号和密码（</w:t>
      </w:r>
      <w:r>
        <w:rPr>
          <w:rFonts w:hint="eastAsia" w:ascii="宋体" w:hAnsi="宋体" w:cs="宋体"/>
          <w:color w:val="FF0000"/>
        </w:rPr>
        <w:t>账号为学号/工号，初始密码：以学校通知为准）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3" w:name="_Toc21120"/>
      <w:bookmarkStart w:id="4" w:name="_Toc3226"/>
      <w:r>
        <w:rPr>
          <w:rFonts w:hint="eastAsia"/>
        </w:rPr>
        <w:t>个人</w:t>
      </w:r>
      <w:bookmarkEnd w:id="3"/>
      <w:r>
        <w:rPr>
          <w:rFonts w:hint="eastAsia"/>
        </w:rPr>
        <w:t>设置</w:t>
      </w:r>
      <w:bookmarkEnd w:id="4"/>
    </w:p>
    <w:p>
      <w:pPr>
        <w:pStyle w:val="3"/>
      </w:pPr>
      <w:bookmarkStart w:id="5" w:name="_Toc7683"/>
      <w:r>
        <w:rPr>
          <w:rFonts w:hint="eastAsia"/>
        </w:rPr>
        <w:t>1、个人信息</w:t>
      </w:r>
      <w:bookmarkEnd w:id="5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6" w:name="_Toc11953"/>
      <w:r>
        <w:rPr>
          <w:rFonts w:hint="eastAsia"/>
        </w:rPr>
        <w:t>2、安全中心</w:t>
      </w:r>
      <w:bookmarkEnd w:id="6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7" w:name="_Toc6721"/>
      <w:bookmarkStart w:id="8" w:name="_Toc17304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7"/>
      <w:bookmarkEnd w:id="8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2"/>
        <w:jc w:val="left"/>
      </w:pPr>
      <w:bookmarkStart w:id="9" w:name="_Toc12027"/>
      <w:r>
        <w:rPr>
          <w:rFonts w:hint="eastAsia"/>
          <w:u w:color="auto"/>
          <w:lang w:val="en-US" w:eastAsia="zh-CN"/>
        </w:rPr>
        <w:t>1、</w:t>
      </w:r>
      <w:r>
        <w:rPr>
          <w:u w:color="auto"/>
        </w:rPr>
        <w:t>选题管理</w:t>
      </w:r>
      <w:bookmarkEnd w:id="9"/>
    </w:p>
    <w:p>
      <w:pPr>
        <w:pStyle w:val="3"/>
        <w:jc w:val="left"/>
      </w:pPr>
      <w:bookmarkStart w:id="10" w:name="_Toc12733"/>
      <w:r>
        <w:rPr>
          <w:rFonts w:hint="eastAsia"/>
          <w:u w:color="auto"/>
          <w:lang w:val="en-US" w:eastAsia="zh-CN"/>
        </w:rPr>
        <w:t>1.1申报</w:t>
      </w:r>
      <w:r>
        <w:rPr>
          <w:u w:color="auto"/>
        </w:rPr>
        <w:t>课题</w:t>
      </w:r>
      <w:bookmarkEnd w:id="10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第1步：用户点击左边菜单栏“选题管理”——选择“课题”，进入“申报课题”页面，在此点击“新增”即可进入申报课题详情页面——在弹窗中根据提示填写申报课题详细内容；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4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1" descr="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48025"/>
            <wp:effectExtent l="0" t="0" r="9525" b="9525"/>
            <wp:docPr id="5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2" descr="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314700"/>
            <wp:effectExtent l="0" t="0" r="9525" b="0"/>
            <wp:docPr id="6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3" descr="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1" w:name="_Toc20776"/>
      <w:r>
        <w:rPr>
          <w:rFonts w:hint="eastAsia"/>
          <w:u w:color="auto"/>
          <w:lang w:val="en-US" w:eastAsia="zh-CN"/>
        </w:rPr>
        <w:t>1.2申请</w:t>
      </w:r>
      <w:r>
        <w:rPr>
          <w:u w:color="auto"/>
        </w:rPr>
        <w:t>课题信息变更</w:t>
      </w:r>
      <w:bookmarkEnd w:id="11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用户选择左边菜单栏“选题管理”——进入“课题信息变更”页面——点击“申请”按钮即可跳转课题修改详情界面——在弹窗中根据模版内容填写新的课题信息，确认无误后点击确定提交——等待指导老师审核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9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4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19450"/>
            <wp:effectExtent l="0" t="0" r="9525" b="0"/>
            <wp:docPr id="10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5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00400"/>
            <wp:effectExtent l="0" t="0" r="9525" b="0"/>
            <wp:docPr id="11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6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12" w:name="_Toc22664"/>
      <w:r>
        <w:rPr>
          <w:rFonts w:hint="eastAsia"/>
          <w:u w:color="auto"/>
          <w:lang w:val="en-US" w:eastAsia="zh-CN"/>
        </w:rPr>
        <w:t>2、</w:t>
      </w:r>
      <w:r>
        <w:rPr>
          <w:u w:color="auto"/>
        </w:rPr>
        <w:t>过程管理</w:t>
      </w:r>
      <w:bookmarkEnd w:id="12"/>
    </w:p>
    <w:p>
      <w:pPr>
        <w:pStyle w:val="3"/>
        <w:jc w:val="left"/>
      </w:pPr>
      <w:bookmarkStart w:id="13" w:name="_Toc15218"/>
      <w:r>
        <w:rPr>
          <w:rFonts w:hint="eastAsia"/>
          <w:u w:color="auto"/>
          <w:lang w:val="en-US" w:eastAsia="zh-CN"/>
        </w:rPr>
        <w:t>2.1提交</w:t>
      </w:r>
      <w:r>
        <w:rPr>
          <w:u w:color="auto"/>
        </w:rPr>
        <w:t>指导日志</w:t>
      </w:r>
      <w:bookmarkEnd w:id="13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第1步：用户点击左边菜单栏“过程管理”——选择“指导日志”，进入“编辑指导日志”页面，在此点击“新增”按钮即可进入指导日志详情页面——在弹窗中根据提示填写指导日志详细内容；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第2步：填写完成后点击“提交”或“暂存”。提交即进入审核环节，审核退回之前不可修改；暂存并未进入下一节点，可以再次编辑修改。点击“确定并继续”即可继续新增。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76275"/>
            <wp:effectExtent l="0" t="0" r="9525" b="9525"/>
            <wp:docPr id="12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7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924175"/>
            <wp:effectExtent l="0" t="0" r="9525" b="9525"/>
            <wp:docPr id="13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8" descr="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u w:color="auto"/>
        </w:rPr>
      </w:pPr>
      <w:r>
        <w:rPr>
          <w:u w:color="auto"/>
        </w:rPr>
        <w:drawing>
          <wp:inline distT="0" distB="0" distL="0" distR="0">
            <wp:extent cx="5267325" cy="3228975"/>
            <wp:effectExtent l="0" t="0" r="9525" b="9525"/>
            <wp:docPr id="14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9" descr="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27076"/>
      <w:r>
        <w:rPr>
          <w:rFonts w:hint="eastAsia"/>
          <w:lang w:val="en-US" w:eastAsia="zh-CN"/>
        </w:rPr>
        <w:t>2.2提交诚信说明</w:t>
      </w:r>
      <w:bookmarkEnd w:id="14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诚信说明</w:t>
      </w:r>
      <w:r>
        <w:rPr>
          <w:rFonts w:ascii="宋体" w:hAnsi="宋体" w:eastAsia="宋体" w:cs="宋体"/>
          <w:sz w:val="21"/>
          <w:u w:color="auto"/>
        </w:rPr>
        <w:t>”，进入“编辑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诚信说明</w:t>
      </w:r>
      <w:r>
        <w:rPr>
          <w:rFonts w:ascii="宋体" w:hAnsi="宋体" w:eastAsia="宋体" w:cs="宋体"/>
          <w:sz w:val="21"/>
          <w:u w:color="auto"/>
        </w:rPr>
        <w:t>”页面，在此点击“编辑”按钮即可进入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诚信说明</w:t>
      </w:r>
      <w:r>
        <w:rPr>
          <w:rFonts w:ascii="宋体" w:hAnsi="宋体" w:eastAsia="宋体" w:cs="宋体"/>
          <w:sz w:val="21"/>
          <w:u w:color="auto"/>
        </w:rPr>
        <w:t>详情页面——在弹窗中根据提示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上传诚信说明</w:t>
      </w:r>
      <w:r>
        <w:rPr>
          <w:rFonts w:ascii="宋体" w:hAnsi="宋体" w:eastAsia="宋体" w:cs="宋体"/>
          <w:sz w:val="21"/>
          <w:u w:color="auto"/>
        </w:rPr>
        <w:t>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pPr>
        <w:jc w:val="center"/>
      </w:pPr>
      <w:r>
        <w:drawing>
          <wp:inline distT="0" distB="0" distL="114300" distR="114300">
            <wp:extent cx="5273040" cy="2613660"/>
            <wp:effectExtent l="0" t="0" r="3810" b="1524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880" cy="3181350"/>
            <wp:effectExtent l="0" t="0" r="13970" b="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21263"/>
      <w:r>
        <w:rPr>
          <w:rFonts w:hint="eastAsia"/>
          <w:lang w:val="en-US" w:eastAsia="zh-CN"/>
        </w:rPr>
        <w:t>2.3提交前期工作进度记录</w:t>
      </w:r>
      <w:bookmarkEnd w:id="15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前期工作记录</w:t>
      </w:r>
      <w:r>
        <w:rPr>
          <w:rFonts w:ascii="宋体" w:hAnsi="宋体" w:eastAsia="宋体" w:cs="宋体"/>
          <w:sz w:val="21"/>
          <w:u w:color="auto"/>
        </w:rPr>
        <w:t>”，进入“编辑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前期工作记录</w:t>
      </w:r>
      <w:r>
        <w:rPr>
          <w:rFonts w:ascii="宋体" w:hAnsi="宋体" w:eastAsia="宋体" w:cs="宋体"/>
          <w:sz w:val="21"/>
          <w:u w:color="auto"/>
        </w:rPr>
        <w:t>”页面，在此点击“编辑”按钮即可进入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前期工作记录</w:t>
      </w:r>
      <w:r>
        <w:rPr>
          <w:rFonts w:ascii="宋体" w:hAnsi="宋体" w:eastAsia="宋体" w:cs="宋体"/>
          <w:sz w:val="21"/>
          <w:u w:color="auto"/>
        </w:rPr>
        <w:t>详情页面——在弹窗中根据提示填写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前期工作记录</w:t>
      </w:r>
      <w:r>
        <w:rPr>
          <w:rFonts w:ascii="宋体" w:hAnsi="宋体" w:eastAsia="宋体" w:cs="宋体"/>
          <w:sz w:val="21"/>
          <w:u w:color="auto"/>
        </w:rPr>
        <w:t>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r>
        <w:drawing>
          <wp:inline distT="0" distB="0" distL="114300" distR="114300">
            <wp:extent cx="5273040" cy="2613660"/>
            <wp:effectExtent l="0" t="0" r="3810" b="1524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3169920"/>
            <wp:effectExtent l="0" t="0" r="14605" b="1143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3609"/>
      <w:r>
        <w:rPr>
          <w:rFonts w:hint="eastAsia"/>
          <w:lang w:val="en-US" w:eastAsia="zh-CN"/>
        </w:rPr>
        <w:t>2.4提交中期工作进度记录</w:t>
      </w:r>
      <w:bookmarkEnd w:id="16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中期工作记录</w:t>
      </w:r>
      <w:r>
        <w:rPr>
          <w:rFonts w:ascii="宋体" w:hAnsi="宋体" w:eastAsia="宋体" w:cs="宋体"/>
          <w:sz w:val="21"/>
          <w:u w:color="auto"/>
        </w:rPr>
        <w:t>”，进入“编辑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中期工作记录</w:t>
      </w:r>
      <w:r>
        <w:rPr>
          <w:rFonts w:ascii="宋体" w:hAnsi="宋体" w:eastAsia="宋体" w:cs="宋体"/>
          <w:sz w:val="21"/>
          <w:u w:color="auto"/>
        </w:rPr>
        <w:t>”页面，在此点击“编辑”按钮即可进入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中期工作记录</w:t>
      </w:r>
      <w:r>
        <w:rPr>
          <w:rFonts w:ascii="宋体" w:hAnsi="宋体" w:eastAsia="宋体" w:cs="宋体"/>
          <w:sz w:val="21"/>
          <w:u w:color="auto"/>
        </w:rPr>
        <w:t>详情页面——在弹窗中根据提示填写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中期工作记录</w:t>
      </w:r>
      <w:r>
        <w:rPr>
          <w:rFonts w:ascii="宋体" w:hAnsi="宋体" w:eastAsia="宋体" w:cs="宋体"/>
          <w:sz w:val="21"/>
          <w:u w:color="auto"/>
        </w:rPr>
        <w:t>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r>
        <w:drawing>
          <wp:inline distT="0" distB="0" distL="114300" distR="114300">
            <wp:extent cx="5273040" cy="2613660"/>
            <wp:effectExtent l="0" t="0" r="3810" b="1524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145790"/>
            <wp:effectExtent l="0" t="0" r="6350" b="1651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7" w:name="_Toc15654"/>
      <w:r>
        <w:rPr>
          <w:rFonts w:hint="eastAsia"/>
          <w:lang w:val="en-US" w:eastAsia="zh-CN"/>
        </w:rPr>
        <w:t>2.5提交后期工作进度记录</w:t>
      </w:r>
      <w:bookmarkEnd w:id="17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后期工作记录</w:t>
      </w:r>
      <w:r>
        <w:rPr>
          <w:rFonts w:ascii="宋体" w:hAnsi="宋体" w:eastAsia="宋体" w:cs="宋体"/>
          <w:sz w:val="21"/>
          <w:u w:color="auto"/>
        </w:rPr>
        <w:t>”，进入“编辑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后期工作记录</w:t>
      </w:r>
      <w:r>
        <w:rPr>
          <w:rFonts w:ascii="宋体" w:hAnsi="宋体" w:eastAsia="宋体" w:cs="宋体"/>
          <w:sz w:val="21"/>
          <w:u w:color="auto"/>
        </w:rPr>
        <w:t>”页面，在此点击“编辑”按钮即可进入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后期工作记录</w:t>
      </w:r>
      <w:r>
        <w:rPr>
          <w:rFonts w:ascii="宋体" w:hAnsi="宋体" w:eastAsia="宋体" w:cs="宋体"/>
          <w:sz w:val="21"/>
          <w:u w:color="auto"/>
        </w:rPr>
        <w:t>详情页面——在弹窗中根据提示填写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后期工作记录</w:t>
      </w:r>
      <w:r>
        <w:rPr>
          <w:rFonts w:ascii="宋体" w:hAnsi="宋体" w:eastAsia="宋体" w:cs="宋体"/>
          <w:sz w:val="21"/>
          <w:u w:color="auto"/>
        </w:rPr>
        <w:t>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r>
        <w:drawing>
          <wp:inline distT="0" distB="0" distL="114300" distR="114300">
            <wp:extent cx="5273040" cy="2613660"/>
            <wp:effectExtent l="0" t="0" r="3810" b="1524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271520"/>
            <wp:effectExtent l="0" t="0" r="6350" b="508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177"/>
      <w:r>
        <w:rPr>
          <w:rFonts w:hint="eastAsia"/>
          <w:lang w:val="en-US" w:eastAsia="zh-CN"/>
        </w:rPr>
        <w:t>2.6实习材料上传</w:t>
      </w:r>
      <w:bookmarkEnd w:id="18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实习材料上传</w:t>
      </w:r>
      <w:r>
        <w:rPr>
          <w:rFonts w:ascii="宋体" w:hAnsi="宋体" w:eastAsia="宋体" w:cs="宋体"/>
          <w:sz w:val="21"/>
          <w:u w:color="auto"/>
        </w:rPr>
        <w:t>”，进入“编辑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实习材料</w:t>
      </w:r>
      <w:r>
        <w:rPr>
          <w:rFonts w:ascii="宋体" w:hAnsi="宋体" w:eastAsia="宋体" w:cs="宋体"/>
          <w:sz w:val="21"/>
          <w:u w:color="auto"/>
        </w:rPr>
        <w:t>”页面，在此点击“编辑”按钮即可进入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实习材料</w:t>
      </w:r>
      <w:r>
        <w:rPr>
          <w:rFonts w:ascii="宋体" w:hAnsi="宋体" w:eastAsia="宋体" w:cs="宋体"/>
          <w:sz w:val="21"/>
          <w:u w:color="auto"/>
        </w:rPr>
        <w:t>详情页面——在弹窗中根据提示填写详细内容；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r>
        <w:drawing>
          <wp:inline distT="0" distB="0" distL="114300" distR="114300">
            <wp:extent cx="5273040" cy="2613660"/>
            <wp:effectExtent l="0" t="0" r="3810" b="1524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272790"/>
            <wp:effectExtent l="0" t="0" r="9525" b="381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9" w:name="_Toc12398"/>
      <w:r>
        <w:rPr>
          <w:rFonts w:hint="eastAsia"/>
          <w:u w:color="auto"/>
          <w:lang w:val="en-US" w:eastAsia="zh-CN"/>
        </w:rPr>
        <w:t>2.7提交</w:t>
      </w:r>
      <w:r>
        <w:rPr>
          <w:u w:color="auto"/>
        </w:rPr>
        <w:t>开题报告</w:t>
      </w:r>
      <w:bookmarkEnd w:id="19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第1步：用户点击左边菜单栏“过程管理”——选择“开题报告”，进入“编辑开题报告”页面，在此点击“编辑”按钮即可进入开题报告详情页面——在弹窗中根据提示填写开题报告详细内容；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66750"/>
            <wp:effectExtent l="0" t="0" r="9525" b="0"/>
            <wp:docPr id="15" name="Drawing 1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0" descr="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52775"/>
            <wp:effectExtent l="0" t="0" r="9525" b="9525"/>
            <wp:docPr id="16" name="Drawing 1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1" descr="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71825"/>
            <wp:effectExtent l="0" t="0" r="9525" b="9525"/>
            <wp:docPr id="17" name="Drawing 1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2" descr="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0" w:name="_Toc11466"/>
      <w:r>
        <w:rPr>
          <w:rFonts w:hint="eastAsia"/>
          <w:u w:color="auto"/>
          <w:lang w:val="en-US" w:eastAsia="zh-CN"/>
        </w:rPr>
        <w:t>2.8提交</w:t>
      </w:r>
      <w:r>
        <w:rPr>
          <w:u w:color="auto"/>
        </w:rPr>
        <w:t>中期检查</w:t>
      </w:r>
      <w:bookmarkEnd w:id="20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第1步：用户点击左边菜单栏“过程管理”——选择“中期检查”，进入“编辑中期检查”页面，在此点击“编辑”按钮即可进入中期检查详情页面——在弹窗中根据提示填写中期检查详细内容；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38175"/>
            <wp:effectExtent l="0" t="0" r="9525" b="9525"/>
            <wp:docPr id="18" name="Drawing 1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3" descr="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86125"/>
            <wp:effectExtent l="0" t="0" r="9525" b="9525"/>
            <wp:docPr id="19" name="Drawing 1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4" descr="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u w:color="auto"/>
        </w:rPr>
      </w:pPr>
      <w:r>
        <w:rPr>
          <w:u w:color="auto"/>
        </w:rPr>
        <w:drawing>
          <wp:inline distT="0" distB="0" distL="0" distR="0">
            <wp:extent cx="5267325" cy="3438525"/>
            <wp:effectExtent l="0" t="0" r="9525" b="9525"/>
            <wp:docPr id="20" name="Drawing 1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15" descr="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25836"/>
      <w:r>
        <w:rPr>
          <w:rFonts w:hint="eastAsia"/>
          <w:lang w:val="en-US" w:eastAsia="zh-CN"/>
        </w:rPr>
        <w:t>2.9提交初稿</w:t>
      </w:r>
      <w:bookmarkEnd w:id="21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第1步：用户点击左边菜单栏“过程管理”——选择“初稿”，进入“编辑初稿”页面，在此点击“编辑”按钮即可进入初稿详情页面——在弹窗中上传附件；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42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1" descr="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000375"/>
            <wp:effectExtent l="0" t="0" r="9525" b="9525"/>
            <wp:docPr id="43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2" descr="Generat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u w:color="auto"/>
        </w:rPr>
        <w:drawing>
          <wp:inline distT="0" distB="0" distL="0" distR="0">
            <wp:extent cx="5267325" cy="3152775"/>
            <wp:effectExtent l="0" t="0" r="9525" b="9525"/>
            <wp:docPr id="44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3" descr="Generate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2" w:name="_Toc1301"/>
      <w:r>
        <w:rPr>
          <w:rFonts w:hint="eastAsia"/>
          <w:u w:color="auto"/>
          <w:lang w:val="en-US" w:eastAsia="zh-CN"/>
        </w:rPr>
        <w:t>2.10提交</w:t>
      </w:r>
      <w:r>
        <w:rPr>
          <w:u w:color="auto"/>
        </w:rPr>
        <w:t>答辩稿</w:t>
      </w:r>
      <w:bookmarkEnd w:id="22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答辩稿</w:t>
      </w:r>
      <w:r>
        <w:rPr>
          <w:rFonts w:ascii="宋体" w:hAnsi="宋体" w:eastAsia="宋体" w:cs="宋体"/>
          <w:sz w:val="21"/>
          <w:u w:color="auto"/>
        </w:rPr>
        <w:t>”，进入“编辑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答辩稿</w:t>
      </w:r>
      <w:r>
        <w:rPr>
          <w:rFonts w:ascii="宋体" w:hAnsi="宋体" w:eastAsia="宋体" w:cs="宋体"/>
          <w:sz w:val="21"/>
          <w:u w:color="auto"/>
        </w:rPr>
        <w:t>”页面，在此点击“编辑”按钮即可进入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答辩稿</w:t>
      </w:r>
      <w:r>
        <w:rPr>
          <w:rFonts w:ascii="宋体" w:hAnsi="宋体" w:eastAsia="宋体" w:cs="宋体"/>
          <w:sz w:val="21"/>
          <w:u w:color="auto"/>
        </w:rPr>
        <w:t>详情页面——在弹窗中上传附件；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pPr>
        <w:jc w:val="center"/>
      </w:pPr>
      <w:r>
        <w:drawing>
          <wp:inline distT="0" distB="0" distL="114300" distR="114300">
            <wp:extent cx="5273040" cy="2613660"/>
            <wp:effectExtent l="0" t="0" r="3810" b="15240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2245" cy="3170555"/>
            <wp:effectExtent l="0" t="0" r="14605" b="1079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3380105"/>
            <wp:effectExtent l="0" t="0" r="3175" b="1079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23" w:name="_Toc6753"/>
      <w:r>
        <w:rPr>
          <w:rFonts w:hint="eastAsia"/>
          <w:u w:color="auto"/>
          <w:lang w:val="en-US" w:eastAsia="zh-CN"/>
        </w:rPr>
        <w:t>3、</w:t>
      </w:r>
      <w:r>
        <w:rPr>
          <w:u w:color="auto"/>
        </w:rPr>
        <w:t>最终稿</w:t>
      </w:r>
      <w:bookmarkEnd w:id="23"/>
    </w:p>
    <w:p>
      <w:pPr>
        <w:pStyle w:val="3"/>
        <w:jc w:val="left"/>
      </w:pPr>
      <w:bookmarkStart w:id="24" w:name="_Toc19156"/>
      <w:r>
        <w:rPr>
          <w:rFonts w:hint="eastAsia"/>
          <w:u w:color="auto"/>
          <w:lang w:val="en-US" w:eastAsia="zh-CN"/>
        </w:rPr>
        <w:t>3.1提交</w:t>
      </w:r>
      <w:r>
        <w:rPr>
          <w:u w:color="auto"/>
        </w:rPr>
        <w:t>最终稿</w:t>
      </w:r>
      <w:bookmarkEnd w:id="24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第1步：用户点击左边菜单栏“最终稿”——选择“最终稿”，进入“编辑最终稿”页面，在此点击“编辑”按钮即可进入最终稿详情页面——在弹窗中根据上传附件；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57225"/>
            <wp:effectExtent l="0" t="0" r="9525" b="9525"/>
            <wp:docPr id="25" name="Drawing 2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0" descr="Genera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857500"/>
            <wp:effectExtent l="0" t="0" r="9525" b="0"/>
            <wp:docPr id="26" name="Drawing 2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1" descr="Generate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71825"/>
            <wp:effectExtent l="0" t="0" r="9525" b="9525"/>
            <wp:docPr id="27" name="Drawing 2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2" descr="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24200"/>
            <wp:effectExtent l="0" t="0" r="9525" b="0"/>
            <wp:docPr id="28" name="Drawing 2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3" descr="Generate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25" w:name="_Toc8366"/>
      <w:bookmarkStart w:id="26" w:name="_Toc13162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25"/>
      <w:bookmarkEnd w:id="26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2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27" w:name="_Toc23080"/>
      <w:bookmarkStart w:id="28" w:name="_Toc27405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27"/>
      <w:bookmarkEnd w:id="28"/>
    </w:p>
    <w:p>
      <w:pPr>
        <w:pStyle w:val="3"/>
      </w:pPr>
      <w:bookmarkStart w:id="29" w:name="_Toc21506725"/>
      <w:bookmarkStart w:id="30" w:name="_Toc11588"/>
      <w:bookmarkStart w:id="31" w:name="_Toc5161"/>
      <w:bookmarkStart w:id="32" w:name="_Toc21113907"/>
      <w:bookmarkStart w:id="33" w:name="_Toc21507034"/>
      <w:bookmarkStart w:id="34" w:name="_Toc13523"/>
      <w:bookmarkStart w:id="35" w:name="_Toc21967825"/>
      <w:bookmarkStart w:id="36" w:name="_Toc19779"/>
      <w:bookmarkStart w:id="37" w:name="_Toc14609"/>
      <w:bookmarkStart w:id="38" w:name="_Toc4888"/>
      <w:bookmarkStart w:id="39" w:name="_Toc1740308402_WPSOffice_Level3"/>
      <w:bookmarkStart w:id="40" w:name="_Toc4704"/>
      <w:r>
        <w:rPr>
          <w:rFonts w:hint="eastAsia"/>
        </w:rPr>
        <w:t>1</w:t>
      </w:r>
      <w:bookmarkEnd w:id="29"/>
      <w:bookmarkEnd w:id="30"/>
      <w:bookmarkEnd w:id="31"/>
      <w:bookmarkEnd w:id="32"/>
      <w:bookmarkEnd w:id="33"/>
      <w:bookmarkEnd w:id="34"/>
      <w:bookmarkEnd w:id="35"/>
      <w:r>
        <w:rPr>
          <w:rFonts w:hint="eastAsia"/>
        </w:rPr>
        <w:t>、站内信</w:t>
      </w:r>
      <w:bookmarkEnd w:id="36"/>
      <w:bookmarkEnd w:id="37"/>
      <w:bookmarkEnd w:id="38"/>
      <w:bookmarkEnd w:id="39"/>
      <w:bookmarkEnd w:id="40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1" w:name="_Toc12655"/>
      <w:bookmarkStart w:id="42" w:name="_Toc23918"/>
      <w:bookmarkStart w:id="43" w:name="_Toc636040274_WPSOffice_Level3"/>
      <w:bookmarkStart w:id="44" w:name="_Toc14049"/>
      <w:bookmarkStart w:id="45" w:name="_Toc2652"/>
      <w:r>
        <w:rPr>
          <w:rFonts w:hint="eastAsia"/>
        </w:rPr>
        <w:t>2、公告管理</w:t>
      </w:r>
      <w:bookmarkEnd w:id="41"/>
      <w:bookmarkEnd w:id="42"/>
      <w:bookmarkEnd w:id="43"/>
      <w:bookmarkEnd w:id="44"/>
      <w:bookmarkEnd w:id="45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hint="eastAsia"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YjdiZDQ5MjhmYWEwNmI0MWJmOGRlMWQwMjc0MGU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7E7F94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8F708EE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217FEA"/>
    <w:rsid w:val="4E451F2B"/>
    <w:rsid w:val="4E775E5C"/>
    <w:rsid w:val="4E994025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F3C48"/>
    <w:rsid w:val="539574B0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500E5"/>
    <w:rsid w:val="5EBF3633"/>
    <w:rsid w:val="5EFE2B01"/>
    <w:rsid w:val="5F1576F7"/>
    <w:rsid w:val="5FC81A4F"/>
    <w:rsid w:val="5FE02B0A"/>
    <w:rsid w:val="5FEB66AA"/>
    <w:rsid w:val="5FFB68ED"/>
    <w:rsid w:val="60340051"/>
    <w:rsid w:val="60453C66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A55B1C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8E56B6"/>
    <w:rsid w:val="75C31803"/>
    <w:rsid w:val="75D51537"/>
    <w:rsid w:val="75DC4673"/>
    <w:rsid w:val="76360227"/>
    <w:rsid w:val="76465F91"/>
    <w:rsid w:val="766C3C49"/>
    <w:rsid w:val="76854D0B"/>
    <w:rsid w:val="768A0573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FA97CBC"/>
    <w:rsid w:val="7FED152D"/>
    <w:rsid w:val="7FFD7E66"/>
    <w:rsid w:val="E7CA49CF"/>
    <w:rsid w:val="F7AF7F2A"/>
    <w:rsid w:val="F9FFD381"/>
    <w:rsid w:val="FDFED87C"/>
    <w:rsid w:val="FE7BB6CB"/>
    <w:rsid w:val="FEBB4D4C"/>
    <w:rsid w:val="FEFB5316"/>
    <w:rsid w:val="FF1FD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3"/>
    <w:autoRedefine/>
    <w:qFormat/>
    <w:uiPriority w:val="0"/>
    <w:rPr>
      <w:rFonts w:ascii="宋体"/>
      <w:sz w:val="18"/>
      <w:szCs w:val="18"/>
    </w:rPr>
  </w:style>
  <w:style w:type="paragraph" w:styleId="5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qFormat/>
    <w:uiPriority w:val="39"/>
  </w:style>
  <w:style w:type="paragraph" w:styleId="8">
    <w:name w:val="toc 2"/>
    <w:basedOn w:val="1"/>
    <w:next w:val="1"/>
    <w:uiPriority w:val="39"/>
    <w:pPr>
      <w:ind w:left="420" w:leftChars="200"/>
    </w:pPr>
  </w:style>
  <w:style w:type="paragraph" w:styleId="9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2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3">
    <w:name w:val="文档结构图 Char"/>
    <w:basedOn w:val="11"/>
    <w:link w:val="4"/>
    <w:uiPriority w:val="0"/>
    <w:rPr>
      <w:rFonts w:ascii="宋体"/>
      <w:kern w:val="2"/>
      <w:sz w:val="18"/>
      <w:szCs w:val="18"/>
    </w:rPr>
  </w:style>
  <w:style w:type="character" w:customStyle="1" w:styleId="14">
    <w:name w:val="页脚 Char"/>
    <w:basedOn w:val="11"/>
    <w:link w:val="5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页眉 Char"/>
    <w:basedOn w:val="11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6">
    <w:name w:val="WPSOffice手动目录 1"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7">
    <w:name w:val="WPSOffice手动目录 2"/>
    <w:autoRedefine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numbering" Target="numbering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2243</Words>
  <Characters>2315</Characters>
  <Lines>28</Lines>
  <Paragraphs>8</Paragraphs>
  <TotalTime>2</TotalTime>
  <ScaleCrop>false</ScaleCrop>
  <LinksUpToDate>false</LinksUpToDate>
  <CharactersWithSpaces>2353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2021-12-08T05:21:00Z</dcterms:created>
  <dc:creator>Administrator</dc:creator>
  <cp:lastModifiedBy>Rin</cp:lastModifiedBy>
  <dcterms:modified xsi:type="dcterms:W3CDTF">2024-01-22T06:25:55Z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19458F01ECA3F2725F7B5C65FB2EE914_43</vt:lpwstr>
  </property>
</Properties>
</file>