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04B" w:rsidRDefault="00E8404B" w:rsidP="00896D35">
      <w:pPr>
        <w:ind w:firstLineChars="900" w:firstLine="2880"/>
        <w:rPr>
          <w:rFonts w:ascii="仿宋_GB2312" w:eastAsia="仿宋_GB2312" w:hAnsi="仿宋" w:cs="Times New Roman"/>
          <w:sz w:val="32"/>
          <w:szCs w:val="32"/>
        </w:rPr>
      </w:pPr>
      <w:r>
        <w:rPr>
          <w:rFonts w:ascii="仿宋_GB2312" w:eastAsia="仿宋_GB2312" w:hAnsi="仿宋" w:cs="Times New Roman" w:hint="eastAsia"/>
          <w:sz w:val="32"/>
          <w:szCs w:val="32"/>
        </w:rPr>
        <w:t>信息学院教师简介</w:t>
      </w:r>
    </w:p>
    <w:tbl>
      <w:tblPr>
        <w:tblStyle w:val="a7"/>
        <w:tblW w:w="0" w:type="auto"/>
        <w:tblLook w:val="04A0" w:firstRow="1" w:lastRow="0" w:firstColumn="1" w:lastColumn="0" w:noHBand="0" w:noVBand="1"/>
      </w:tblPr>
      <w:tblGrid>
        <w:gridCol w:w="1957"/>
        <w:gridCol w:w="1133"/>
        <w:gridCol w:w="991"/>
        <w:gridCol w:w="1000"/>
        <w:gridCol w:w="1147"/>
        <w:gridCol w:w="1147"/>
        <w:gridCol w:w="1147"/>
      </w:tblGrid>
      <w:tr w:rsidR="00170158" w:rsidRPr="00896D35" w:rsidTr="00170158">
        <w:tc>
          <w:tcPr>
            <w:tcW w:w="1957" w:type="dxa"/>
            <w:vMerge w:val="restart"/>
            <w:vAlign w:val="center"/>
          </w:tcPr>
          <w:p w:rsidR="00170158" w:rsidRPr="00896D35" w:rsidRDefault="00FF20AC" w:rsidP="00896D35">
            <w:pPr>
              <w:jc w:val="center"/>
              <w:rPr>
                <w:rFonts w:ascii="仿宋_GB2312" w:eastAsia="仿宋_GB2312" w:hAnsi="仿宋" w:cs="Times New Roman"/>
                <w:sz w:val="28"/>
                <w:szCs w:val="32"/>
              </w:rPr>
            </w:pPr>
            <w:r>
              <w:rPr>
                <w:rFonts w:ascii="仿宋_GB2312" w:eastAsia="仿宋_GB2312" w:hAnsi="仿宋" w:cs="Times New Roman"/>
                <w:noProof/>
                <w:sz w:val="28"/>
                <w:szCs w:val="32"/>
              </w:rPr>
              <w:drawing>
                <wp:inline distT="0" distB="0" distL="0" distR="0" wp14:anchorId="6DB12879" wp14:editId="406AA1B1">
                  <wp:extent cx="1033288" cy="1473200"/>
                  <wp:effectExtent l="0" t="0" r="0" b="0"/>
                  <wp:docPr id="2" name="图片 2" descr="C:\Users\lenovo\Desktop\岳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岳训.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7435" cy="1479113"/>
                          </a:xfrm>
                          <a:prstGeom prst="rect">
                            <a:avLst/>
                          </a:prstGeom>
                          <a:noFill/>
                          <a:ln>
                            <a:noFill/>
                          </a:ln>
                        </pic:spPr>
                      </pic:pic>
                    </a:graphicData>
                  </a:graphic>
                </wp:inline>
              </w:drawing>
            </w:r>
          </w:p>
        </w:tc>
        <w:tc>
          <w:tcPr>
            <w:tcW w:w="1133" w:type="dxa"/>
          </w:tcPr>
          <w:p w:rsidR="00170158" w:rsidRPr="00896D35" w:rsidRDefault="00170158">
            <w:pPr>
              <w:rPr>
                <w:rFonts w:ascii="仿宋_GB2312" w:eastAsia="仿宋_GB2312" w:hAnsi="仿宋" w:cs="Times New Roman"/>
                <w:sz w:val="28"/>
                <w:szCs w:val="32"/>
              </w:rPr>
            </w:pPr>
            <w:r w:rsidRPr="00896D35">
              <w:rPr>
                <w:rFonts w:ascii="仿宋_GB2312" w:eastAsia="仿宋_GB2312" w:hAnsi="仿宋" w:cs="Times New Roman"/>
                <w:sz w:val="28"/>
                <w:szCs w:val="32"/>
              </w:rPr>
              <w:t>姓名</w:t>
            </w:r>
          </w:p>
        </w:tc>
        <w:tc>
          <w:tcPr>
            <w:tcW w:w="991" w:type="dxa"/>
          </w:tcPr>
          <w:p w:rsidR="00170158" w:rsidRPr="00896D35" w:rsidRDefault="00170158">
            <w:pPr>
              <w:rPr>
                <w:rFonts w:ascii="仿宋_GB2312" w:eastAsia="仿宋_GB2312" w:hAnsi="仿宋" w:cs="Times New Roman"/>
                <w:sz w:val="28"/>
                <w:szCs w:val="32"/>
              </w:rPr>
            </w:pPr>
            <w:proofErr w:type="gramStart"/>
            <w:r w:rsidRPr="00903B51">
              <w:rPr>
                <w:rFonts w:asciiTheme="minorEastAsia" w:hAnsiTheme="minorEastAsia" w:hint="eastAsia"/>
                <w:b/>
                <w:sz w:val="28"/>
              </w:rPr>
              <w:t>岳训</w:t>
            </w:r>
            <w:proofErr w:type="gramEnd"/>
          </w:p>
        </w:tc>
        <w:tc>
          <w:tcPr>
            <w:tcW w:w="1000" w:type="dxa"/>
          </w:tcPr>
          <w:p w:rsidR="00170158" w:rsidRPr="00896D35" w:rsidRDefault="00170158">
            <w:pPr>
              <w:rPr>
                <w:rFonts w:ascii="仿宋_GB2312" w:eastAsia="仿宋_GB2312" w:hAnsi="仿宋" w:cs="Times New Roman"/>
                <w:sz w:val="28"/>
                <w:szCs w:val="32"/>
              </w:rPr>
            </w:pPr>
            <w:r w:rsidRPr="00896D35">
              <w:rPr>
                <w:rFonts w:ascii="仿宋_GB2312" w:eastAsia="仿宋_GB2312" w:hAnsi="仿宋" w:cs="Times New Roman"/>
                <w:sz w:val="28"/>
                <w:szCs w:val="32"/>
              </w:rPr>
              <w:t>学历</w:t>
            </w:r>
          </w:p>
        </w:tc>
        <w:tc>
          <w:tcPr>
            <w:tcW w:w="1147" w:type="dxa"/>
          </w:tcPr>
          <w:p w:rsidR="00170158" w:rsidRPr="00896D35" w:rsidRDefault="00170158">
            <w:pPr>
              <w:rPr>
                <w:rFonts w:ascii="仿宋_GB2312" w:eastAsia="仿宋_GB2312" w:hAnsi="仿宋" w:cs="Times New Roman"/>
                <w:sz w:val="28"/>
                <w:szCs w:val="32"/>
              </w:rPr>
            </w:pPr>
            <w:r w:rsidRPr="00903B51">
              <w:rPr>
                <w:rFonts w:asciiTheme="minorEastAsia" w:hAnsiTheme="minorEastAsia" w:hint="eastAsia"/>
                <w:b/>
                <w:sz w:val="28"/>
              </w:rPr>
              <w:t>博士</w:t>
            </w:r>
          </w:p>
        </w:tc>
        <w:tc>
          <w:tcPr>
            <w:tcW w:w="1147" w:type="dxa"/>
          </w:tcPr>
          <w:p w:rsidR="00170158" w:rsidRPr="00896D35" w:rsidRDefault="00170158">
            <w:pPr>
              <w:rPr>
                <w:rFonts w:ascii="仿宋_GB2312" w:eastAsia="仿宋_GB2312" w:hAnsi="仿宋" w:cs="Times New Roman"/>
                <w:sz w:val="28"/>
                <w:szCs w:val="32"/>
              </w:rPr>
            </w:pPr>
            <w:r w:rsidRPr="00896D35">
              <w:rPr>
                <w:rFonts w:ascii="仿宋_GB2312" w:eastAsia="仿宋_GB2312" w:hAnsi="仿宋" w:cs="Times New Roman"/>
                <w:sz w:val="28"/>
                <w:szCs w:val="32"/>
              </w:rPr>
              <w:t>职称</w:t>
            </w:r>
          </w:p>
        </w:tc>
        <w:tc>
          <w:tcPr>
            <w:tcW w:w="1147" w:type="dxa"/>
            <w:vAlign w:val="center"/>
          </w:tcPr>
          <w:p w:rsidR="00170158" w:rsidRPr="00903B51" w:rsidRDefault="00170158" w:rsidP="00903B51">
            <w:pPr>
              <w:rPr>
                <w:b/>
              </w:rPr>
            </w:pPr>
            <w:r w:rsidRPr="00903B51">
              <w:rPr>
                <w:rFonts w:asciiTheme="minorEastAsia" w:hAnsiTheme="minorEastAsia" w:hint="eastAsia"/>
                <w:b/>
                <w:sz w:val="28"/>
              </w:rPr>
              <w:t>教授</w:t>
            </w:r>
          </w:p>
        </w:tc>
      </w:tr>
      <w:tr w:rsidR="00170158" w:rsidRPr="00896D35" w:rsidTr="00170158">
        <w:trPr>
          <w:trHeight w:val="1001"/>
        </w:trPr>
        <w:tc>
          <w:tcPr>
            <w:tcW w:w="1957" w:type="dxa"/>
            <w:vMerge/>
          </w:tcPr>
          <w:p w:rsidR="00170158" w:rsidRPr="00896D35" w:rsidRDefault="00170158">
            <w:pPr>
              <w:rPr>
                <w:rFonts w:ascii="仿宋_GB2312" w:eastAsia="仿宋_GB2312" w:hAnsi="仿宋" w:cs="Times New Roman"/>
                <w:sz w:val="28"/>
                <w:szCs w:val="32"/>
              </w:rPr>
            </w:pPr>
          </w:p>
        </w:tc>
        <w:tc>
          <w:tcPr>
            <w:tcW w:w="1133" w:type="dxa"/>
          </w:tcPr>
          <w:p w:rsidR="00170158" w:rsidRPr="00896D35" w:rsidRDefault="00170158">
            <w:pPr>
              <w:rPr>
                <w:rFonts w:ascii="仿宋_GB2312" w:eastAsia="仿宋_GB2312" w:hAnsi="仿宋" w:cs="Times New Roman"/>
                <w:spacing w:val="-20"/>
                <w:w w:val="90"/>
                <w:sz w:val="28"/>
                <w:szCs w:val="32"/>
              </w:rPr>
            </w:pPr>
            <w:r w:rsidRPr="00896D35">
              <w:rPr>
                <w:rFonts w:ascii="仿宋_GB2312" w:eastAsia="仿宋_GB2312" w:hAnsi="仿宋" w:cs="Times New Roman"/>
                <w:spacing w:val="-20"/>
                <w:w w:val="90"/>
                <w:sz w:val="28"/>
                <w:szCs w:val="32"/>
              </w:rPr>
              <w:t>所属部门</w:t>
            </w:r>
          </w:p>
        </w:tc>
        <w:tc>
          <w:tcPr>
            <w:tcW w:w="5432" w:type="dxa"/>
            <w:gridSpan w:val="5"/>
          </w:tcPr>
          <w:p w:rsidR="00170158" w:rsidRPr="00896D35" w:rsidRDefault="00170158">
            <w:pPr>
              <w:rPr>
                <w:rFonts w:ascii="仿宋_GB2312" w:eastAsia="仿宋_GB2312" w:hAnsi="仿宋" w:cs="Times New Roman"/>
                <w:sz w:val="28"/>
                <w:szCs w:val="32"/>
              </w:rPr>
            </w:pPr>
            <w:bookmarkStart w:id="0" w:name="_GoBack"/>
            <w:r w:rsidRPr="00903B51">
              <w:rPr>
                <w:rFonts w:asciiTheme="minorEastAsia" w:hAnsiTheme="minorEastAsia" w:hint="eastAsia"/>
                <w:b/>
                <w:sz w:val="28"/>
              </w:rPr>
              <w:t>信息科学与工程学院计算机科学系</w:t>
            </w:r>
            <w:bookmarkEnd w:id="0"/>
          </w:p>
        </w:tc>
      </w:tr>
      <w:tr w:rsidR="00170158" w:rsidRPr="00896D35" w:rsidTr="00170158">
        <w:trPr>
          <w:trHeight w:val="1079"/>
        </w:trPr>
        <w:tc>
          <w:tcPr>
            <w:tcW w:w="1957" w:type="dxa"/>
            <w:vMerge/>
          </w:tcPr>
          <w:p w:rsidR="00170158" w:rsidRPr="00896D35" w:rsidRDefault="00170158">
            <w:pPr>
              <w:rPr>
                <w:rFonts w:ascii="仿宋_GB2312" w:eastAsia="仿宋_GB2312" w:hAnsi="仿宋" w:cs="Times New Roman"/>
                <w:sz w:val="28"/>
                <w:szCs w:val="32"/>
              </w:rPr>
            </w:pPr>
          </w:p>
        </w:tc>
        <w:tc>
          <w:tcPr>
            <w:tcW w:w="1133" w:type="dxa"/>
          </w:tcPr>
          <w:p w:rsidR="00170158" w:rsidRPr="00896D35" w:rsidRDefault="00170158">
            <w:pPr>
              <w:rPr>
                <w:rFonts w:ascii="仿宋_GB2312" w:eastAsia="仿宋_GB2312" w:hAnsi="仿宋" w:cs="Times New Roman"/>
                <w:sz w:val="28"/>
                <w:szCs w:val="32"/>
              </w:rPr>
            </w:pPr>
            <w:r w:rsidRPr="00896D35">
              <w:rPr>
                <w:rFonts w:ascii="仿宋_GB2312" w:eastAsia="仿宋_GB2312" w:hAnsi="仿宋" w:cs="Times New Roman"/>
                <w:spacing w:val="-20"/>
                <w:w w:val="90"/>
                <w:sz w:val="28"/>
                <w:szCs w:val="32"/>
              </w:rPr>
              <w:t>联系方式</w:t>
            </w:r>
          </w:p>
        </w:tc>
        <w:tc>
          <w:tcPr>
            <w:tcW w:w="5432" w:type="dxa"/>
            <w:gridSpan w:val="5"/>
          </w:tcPr>
          <w:p w:rsidR="00170158" w:rsidRPr="00896D35" w:rsidRDefault="00170158">
            <w:pPr>
              <w:rPr>
                <w:rFonts w:ascii="仿宋_GB2312" w:eastAsia="仿宋_GB2312" w:hAnsi="仿宋" w:cs="Times New Roman"/>
                <w:sz w:val="28"/>
                <w:szCs w:val="32"/>
              </w:rPr>
            </w:pPr>
            <w:r w:rsidRPr="009F5D45">
              <w:rPr>
                <w:rFonts w:hint="eastAsia"/>
                <w:b/>
                <w:szCs w:val="21"/>
              </w:rPr>
              <w:t>电话</w:t>
            </w:r>
            <w:r w:rsidRPr="009F5D45">
              <w:rPr>
                <w:rFonts w:hint="eastAsia"/>
                <w:b/>
                <w:szCs w:val="21"/>
              </w:rPr>
              <w:t xml:space="preserve">: 13615482502  </w:t>
            </w:r>
            <w:r w:rsidRPr="009F5D45">
              <w:rPr>
                <w:b/>
                <w:szCs w:val="21"/>
              </w:rPr>
              <w:t>邮箱：</w:t>
            </w:r>
            <w:r w:rsidRPr="009F5D45">
              <w:rPr>
                <w:rFonts w:hint="eastAsia"/>
                <w:b/>
                <w:szCs w:val="21"/>
              </w:rPr>
              <w:t>yuexun@sdau.edu.cn</w:t>
            </w:r>
          </w:p>
        </w:tc>
      </w:tr>
      <w:tr w:rsidR="00170158" w:rsidRPr="00896D35" w:rsidTr="00896D35">
        <w:trPr>
          <w:trHeight w:val="1287"/>
        </w:trPr>
        <w:tc>
          <w:tcPr>
            <w:tcW w:w="8522" w:type="dxa"/>
            <w:gridSpan w:val="7"/>
          </w:tcPr>
          <w:p w:rsidR="00170158" w:rsidRDefault="00170158">
            <w:pPr>
              <w:rPr>
                <w:rFonts w:ascii="仿宋_GB2312" w:eastAsia="仿宋_GB2312" w:hAnsi="仿宋" w:cs="Times New Roman"/>
                <w:sz w:val="28"/>
                <w:szCs w:val="32"/>
              </w:rPr>
            </w:pPr>
            <w:r w:rsidRPr="00896D35">
              <w:rPr>
                <w:rFonts w:ascii="仿宋_GB2312" w:eastAsia="仿宋_GB2312" w:hAnsi="仿宋" w:cs="Times New Roman"/>
                <w:sz w:val="28"/>
                <w:szCs w:val="32"/>
              </w:rPr>
              <w:t>简介</w:t>
            </w:r>
            <w:r w:rsidRPr="00896D35">
              <w:rPr>
                <w:rFonts w:ascii="仿宋_GB2312" w:eastAsia="仿宋_GB2312" w:hAnsi="仿宋" w:cs="Times New Roman" w:hint="eastAsia"/>
                <w:sz w:val="28"/>
                <w:szCs w:val="32"/>
              </w:rPr>
              <w:t>（600字以内）</w:t>
            </w:r>
          </w:p>
          <w:p w:rsidR="00170158" w:rsidRPr="00896D35" w:rsidRDefault="00170158">
            <w:pPr>
              <w:rPr>
                <w:rFonts w:ascii="仿宋_GB2312" w:eastAsia="仿宋_GB2312" w:hAnsi="仿宋" w:cs="Times New Roman"/>
                <w:sz w:val="28"/>
                <w:szCs w:val="32"/>
              </w:rPr>
            </w:pPr>
            <w:r w:rsidRPr="009F5D45">
              <w:rPr>
                <w:rFonts w:hint="eastAsia"/>
              </w:rPr>
              <w:t>岳训（</w:t>
            </w:r>
            <w:r w:rsidRPr="009F5D45">
              <w:t>1968</w:t>
            </w:r>
            <w:r w:rsidRPr="009F5D45">
              <w:t>年</w:t>
            </w:r>
            <w:r w:rsidRPr="009F5D45">
              <w:t>07</w:t>
            </w:r>
            <w:r w:rsidRPr="009F5D45">
              <w:t>月），男，山</w:t>
            </w:r>
            <w:r w:rsidRPr="009F5D45">
              <w:rPr>
                <w:rFonts w:hint="eastAsia"/>
              </w:rPr>
              <w:t>东省济南人，</w:t>
            </w:r>
            <w:r w:rsidRPr="009F5D45">
              <w:t>2007</w:t>
            </w:r>
            <w:r w:rsidRPr="009F5D45">
              <w:t>年</w:t>
            </w:r>
            <w:r w:rsidRPr="009F5D45">
              <w:t>1</w:t>
            </w:r>
            <w:r w:rsidRPr="009F5D45">
              <w:t>月博士</w:t>
            </w:r>
            <w:r w:rsidRPr="009F5D45">
              <w:rPr>
                <w:rFonts w:hint="eastAsia"/>
              </w:rPr>
              <w:t>毕业于大连理工大学计算机科学工程系计算机应用专业，</w:t>
            </w:r>
            <w:r w:rsidRPr="009F5D45">
              <w:t>教授</w:t>
            </w:r>
            <w:r w:rsidRPr="009F5D45">
              <w:t xml:space="preserve">, </w:t>
            </w:r>
            <w:r w:rsidRPr="009F5D45">
              <w:rPr>
                <w:rFonts w:hint="eastAsia"/>
              </w:rPr>
              <w:t>硕士生导师。</w:t>
            </w:r>
          </w:p>
        </w:tc>
      </w:tr>
      <w:tr w:rsidR="00170158" w:rsidRPr="00896D35" w:rsidTr="00041DBB">
        <w:tc>
          <w:tcPr>
            <w:tcW w:w="8522" w:type="dxa"/>
            <w:gridSpan w:val="7"/>
          </w:tcPr>
          <w:p w:rsidR="00170158" w:rsidRPr="00896D35" w:rsidRDefault="00170158">
            <w:pPr>
              <w:rPr>
                <w:rFonts w:ascii="仿宋_GB2312" w:eastAsia="仿宋_GB2312" w:hAnsi="仿宋" w:cs="Times New Roman"/>
                <w:sz w:val="28"/>
                <w:szCs w:val="32"/>
              </w:rPr>
            </w:pPr>
            <w:r w:rsidRPr="00896D35">
              <w:rPr>
                <w:rFonts w:ascii="仿宋_GB2312" w:eastAsia="仿宋_GB2312" w:hAnsi="仿宋" w:cs="Times New Roman"/>
                <w:sz w:val="28"/>
                <w:szCs w:val="32"/>
              </w:rPr>
              <w:t>教学工作</w:t>
            </w:r>
          </w:p>
        </w:tc>
      </w:tr>
      <w:tr w:rsidR="00170158" w:rsidRPr="00896D35" w:rsidTr="00896D35">
        <w:trPr>
          <w:trHeight w:val="802"/>
        </w:trPr>
        <w:tc>
          <w:tcPr>
            <w:tcW w:w="8522" w:type="dxa"/>
            <w:gridSpan w:val="7"/>
          </w:tcPr>
          <w:p w:rsidR="00170158" w:rsidRPr="00896D35" w:rsidRDefault="00170158">
            <w:pPr>
              <w:rPr>
                <w:rFonts w:ascii="仿宋_GB2312" w:eastAsia="仿宋_GB2312" w:hAnsi="仿宋" w:cs="Times New Roman"/>
                <w:sz w:val="28"/>
                <w:szCs w:val="32"/>
              </w:rPr>
            </w:pPr>
            <w:r w:rsidRPr="009F5D45">
              <w:rPr>
                <w:rFonts w:hint="eastAsia"/>
              </w:rPr>
              <w:t>担任</w:t>
            </w:r>
            <w:r w:rsidR="002436F0">
              <w:rPr>
                <w:rFonts w:hint="eastAsia"/>
              </w:rPr>
              <w:t>计算机导论、</w:t>
            </w:r>
            <w:r w:rsidRPr="009F5D45">
              <w:rPr>
                <w:rFonts w:hint="eastAsia"/>
              </w:rPr>
              <w:t>数据库原理、人工智能</w:t>
            </w:r>
            <w:r w:rsidR="002436F0">
              <w:rPr>
                <w:rFonts w:hint="eastAsia"/>
              </w:rPr>
              <w:t>和</w:t>
            </w:r>
            <w:r w:rsidR="002436F0">
              <w:rPr>
                <w:rFonts w:hint="eastAsia"/>
              </w:rPr>
              <w:t>Python</w:t>
            </w:r>
            <w:r w:rsidR="002436F0">
              <w:rPr>
                <w:rFonts w:hint="eastAsia"/>
              </w:rPr>
              <w:t>程序设计</w:t>
            </w:r>
            <w:r w:rsidRPr="009F5D45">
              <w:rPr>
                <w:rFonts w:hint="eastAsia"/>
              </w:rPr>
              <w:t>等课程的教学工作</w:t>
            </w:r>
          </w:p>
        </w:tc>
      </w:tr>
      <w:tr w:rsidR="00170158" w:rsidRPr="00896D35" w:rsidTr="00CC4D94">
        <w:tc>
          <w:tcPr>
            <w:tcW w:w="8522" w:type="dxa"/>
            <w:gridSpan w:val="7"/>
          </w:tcPr>
          <w:p w:rsidR="00170158" w:rsidRPr="00896D35" w:rsidRDefault="00170158">
            <w:pPr>
              <w:rPr>
                <w:rFonts w:ascii="仿宋_GB2312" w:eastAsia="仿宋_GB2312" w:hAnsi="仿宋" w:cs="Times New Roman"/>
                <w:sz w:val="28"/>
                <w:szCs w:val="32"/>
              </w:rPr>
            </w:pPr>
            <w:r w:rsidRPr="00896D35">
              <w:rPr>
                <w:rFonts w:ascii="仿宋_GB2312" w:eastAsia="仿宋_GB2312" w:hAnsi="仿宋" w:cs="Times New Roman"/>
                <w:sz w:val="28"/>
                <w:szCs w:val="32"/>
              </w:rPr>
              <w:t>研究方向</w:t>
            </w:r>
          </w:p>
        </w:tc>
      </w:tr>
      <w:tr w:rsidR="00170158" w:rsidRPr="00896D35" w:rsidTr="00896D35">
        <w:trPr>
          <w:trHeight w:val="908"/>
        </w:trPr>
        <w:tc>
          <w:tcPr>
            <w:tcW w:w="8522" w:type="dxa"/>
            <w:gridSpan w:val="7"/>
          </w:tcPr>
          <w:p w:rsidR="00170158" w:rsidRPr="009F5D45" w:rsidRDefault="00170158" w:rsidP="00170158">
            <w:r w:rsidRPr="009F5D45">
              <w:rPr>
                <w:rFonts w:hint="eastAsia"/>
              </w:rPr>
              <w:t>主要研究方向</w:t>
            </w:r>
            <w:r w:rsidRPr="009F5D45">
              <w:t xml:space="preserve"> 1.</w:t>
            </w:r>
            <w:r w:rsidRPr="009F5D45">
              <w:t>信息</w:t>
            </w:r>
            <w:r w:rsidRPr="009F5D45">
              <w:rPr>
                <w:rFonts w:hint="eastAsia"/>
              </w:rPr>
              <w:t>学科与生命科学学科的交叉融合方向</w:t>
            </w:r>
            <w:r w:rsidRPr="009F5D45">
              <w:t>-</w:t>
            </w:r>
            <w:r w:rsidRPr="009F5D45">
              <w:rPr>
                <w:rFonts w:hint="eastAsia"/>
              </w:rPr>
              <w:t>计算系统分子生物学领域，集中在植物形态发育的细胞分子调控的系统模型。近几年，研究成果的创新逐步得到国际计算系统分子生物学领域的认可，以首位或通讯作者在计算系统分子生物学领域国际重要学术期刊，发表</w:t>
            </w:r>
            <w:r w:rsidRPr="009F5D45">
              <w:t>BMC Systems Biology</w:t>
            </w:r>
            <w:r w:rsidRPr="009F5D45">
              <w:t>、</w:t>
            </w:r>
            <w:r w:rsidRPr="009F5D45">
              <w:t>PLOS ONE</w:t>
            </w:r>
            <w:r w:rsidRPr="009F5D45">
              <w:t>、</w:t>
            </w:r>
            <w:r w:rsidRPr="009F5D45">
              <w:t>Comparative and Functional Genomics</w:t>
            </w:r>
            <w:r w:rsidRPr="009F5D45">
              <w:t>和</w:t>
            </w:r>
            <w:r w:rsidRPr="009F5D45">
              <w:t>Plant Signaling &amp; Behavior</w:t>
            </w:r>
            <w:r w:rsidRPr="009F5D45">
              <w:rPr>
                <w:rFonts w:hint="eastAsia"/>
              </w:rPr>
              <w:t>专业论文。</w:t>
            </w:r>
          </w:p>
          <w:p w:rsidR="00F8580D" w:rsidRPr="00896D35" w:rsidRDefault="00170158" w:rsidP="00CA2CC6">
            <w:pPr>
              <w:rPr>
                <w:rFonts w:ascii="仿宋_GB2312" w:eastAsia="仿宋_GB2312" w:hAnsi="仿宋" w:cs="Times New Roman"/>
                <w:sz w:val="28"/>
                <w:szCs w:val="32"/>
              </w:rPr>
            </w:pPr>
            <w:r w:rsidRPr="009F5D45">
              <w:rPr>
                <w:rFonts w:hint="eastAsia"/>
              </w:rPr>
              <w:t>主要研究方向</w:t>
            </w:r>
            <w:r w:rsidRPr="009F5D45">
              <w:t xml:space="preserve"> 2. </w:t>
            </w:r>
            <w:r w:rsidRPr="009F5D45">
              <w:rPr>
                <w:rFonts w:hint="eastAsia"/>
              </w:rPr>
              <w:t>随着大数据产业应用场景的拓展，大数据智能为核心的机器认知决策计算基础服务体系将真正成为底层关键技术。近年在复杂系统范式的学科交叉领域具有自身鲜明的特色。注重“整体的、系统演化”的整体系统思维视野下的机器认知理论，诠释机器认知智能体与具体应用领域环境之间相互作用的全局演化调控机理；用统一的数据认知（模型）、算法实现及架构模型。</w:t>
            </w:r>
            <w:r w:rsidR="00C82B30">
              <w:rPr>
                <w:rFonts w:hint="eastAsia"/>
              </w:rPr>
              <w:t>聚焦于</w:t>
            </w:r>
            <w:r w:rsidR="00F8580D" w:rsidRPr="00F8580D">
              <w:rPr>
                <w:rFonts w:hint="eastAsia"/>
              </w:rPr>
              <w:t>面向现代设施农业、数字精准农业的农业无人机集群的最佳区域路径规划研究</w:t>
            </w:r>
            <w:r w:rsidR="00F8580D">
              <w:rPr>
                <w:rFonts w:hint="eastAsia"/>
              </w:rPr>
              <w:t>。</w:t>
            </w:r>
          </w:p>
        </w:tc>
      </w:tr>
      <w:tr w:rsidR="00170158" w:rsidRPr="00896D35" w:rsidTr="008E165A">
        <w:tc>
          <w:tcPr>
            <w:tcW w:w="8522" w:type="dxa"/>
            <w:gridSpan w:val="7"/>
          </w:tcPr>
          <w:p w:rsidR="00170158" w:rsidRPr="00896D35" w:rsidRDefault="00170158" w:rsidP="002436F0">
            <w:pPr>
              <w:rPr>
                <w:rFonts w:ascii="仿宋_GB2312" w:eastAsia="仿宋_GB2312" w:hAnsi="仿宋" w:cs="Times New Roman"/>
                <w:sz w:val="28"/>
                <w:szCs w:val="32"/>
              </w:rPr>
            </w:pPr>
            <w:r w:rsidRPr="00896D35">
              <w:rPr>
                <w:rFonts w:ascii="仿宋_GB2312" w:eastAsia="仿宋_GB2312" w:hAnsi="仿宋" w:cs="Times New Roman"/>
                <w:sz w:val="28"/>
                <w:szCs w:val="32"/>
              </w:rPr>
              <w:t>科研项目</w:t>
            </w:r>
          </w:p>
        </w:tc>
      </w:tr>
      <w:tr w:rsidR="00170158" w:rsidRPr="00896D35" w:rsidTr="00896D35">
        <w:trPr>
          <w:trHeight w:val="1058"/>
        </w:trPr>
        <w:tc>
          <w:tcPr>
            <w:tcW w:w="8522" w:type="dxa"/>
            <w:gridSpan w:val="7"/>
          </w:tcPr>
          <w:p w:rsidR="00170158" w:rsidRPr="009F5D45" w:rsidRDefault="00170158" w:rsidP="00170158">
            <w:r w:rsidRPr="009F5D45">
              <w:rPr>
                <w:rFonts w:hint="eastAsia"/>
                <w:sz w:val="28"/>
              </w:rPr>
              <w:t>参与完成的科研任务如下：</w:t>
            </w:r>
          </w:p>
          <w:p w:rsidR="00170158" w:rsidRPr="009F5D45" w:rsidRDefault="00170158" w:rsidP="00170158">
            <w:r w:rsidRPr="009F5D45">
              <w:t>1</w:t>
            </w:r>
            <w:r w:rsidRPr="009F5D45">
              <w:t>．</w:t>
            </w:r>
            <w:r w:rsidRPr="009F5D45">
              <w:tab/>
            </w:r>
            <w:r w:rsidRPr="009F5D45">
              <w:rPr>
                <w:rFonts w:hint="eastAsia"/>
              </w:rPr>
              <w:t>参与</w:t>
            </w:r>
            <w:r w:rsidRPr="009F5D45">
              <w:t>973</w:t>
            </w:r>
            <w:r w:rsidRPr="009F5D45">
              <w:t>重大科</w:t>
            </w:r>
            <w:r w:rsidRPr="009F5D45">
              <w:rPr>
                <w:rFonts w:hint="eastAsia"/>
              </w:rPr>
              <w:t>学研究计划项目（植物授粉细胞识别的分子机理及信号通路研究）子课题：花粉与柱头细胞识别的分子机理（</w:t>
            </w:r>
            <w:r w:rsidRPr="009F5D45">
              <w:t>2007CB947602</w:t>
            </w:r>
            <w:r w:rsidRPr="009F5D45">
              <w:t>），主要承</w:t>
            </w:r>
            <w:r w:rsidRPr="009F5D45">
              <w:rPr>
                <w:rFonts w:hint="eastAsia"/>
              </w:rPr>
              <w:t>担课题组的生物信息学和计算生物学方面工作。</w:t>
            </w:r>
          </w:p>
          <w:p w:rsidR="00170158" w:rsidRPr="009F5D45" w:rsidRDefault="00170158" w:rsidP="00170158">
            <w:r w:rsidRPr="009F5D45">
              <w:t>2</w:t>
            </w:r>
            <w:r w:rsidRPr="009F5D45">
              <w:t>．</w:t>
            </w:r>
            <w:r w:rsidRPr="009F5D45">
              <w:tab/>
            </w:r>
            <w:r w:rsidRPr="009F5D45">
              <w:t>以主要承</w:t>
            </w:r>
            <w:r w:rsidRPr="009F5D45">
              <w:rPr>
                <w:rFonts w:hint="eastAsia"/>
              </w:rPr>
              <w:t>担者（第二位）国家自然科学基金重大研究计划项目</w:t>
            </w:r>
            <w:r w:rsidRPr="009F5D45">
              <w:t xml:space="preserve"> “ZmAUX1</w:t>
            </w:r>
            <w:r w:rsidRPr="009F5D45">
              <w:t>基因</w:t>
            </w:r>
            <w:r w:rsidRPr="009F5D45">
              <w:rPr>
                <w:rFonts w:hint="eastAsia"/>
              </w:rPr>
              <w:t>调控玉米穗行数形成的遗传网络解析”（</w:t>
            </w:r>
            <w:r w:rsidRPr="009F5D45">
              <w:t xml:space="preserve">No:91535109 </w:t>
            </w:r>
            <w:r w:rsidRPr="009F5D45">
              <w:t>第二位），完成了</w:t>
            </w:r>
            <w:r w:rsidRPr="009F5D45">
              <w:rPr>
                <w:rFonts w:hint="eastAsia"/>
              </w:rPr>
              <w:t>调控玉米穗行数形成形态发育分子调控信息的数据整合、关联、解析、植物细胞分子调控的系统模型工作。，</w:t>
            </w:r>
          </w:p>
          <w:p w:rsidR="00170158" w:rsidRPr="009F5D45" w:rsidRDefault="00170158" w:rsidP="00170158">
            <w:r w:rsidRPr="009F5D45">
              <w:t>3</w:t>
            </w:r>
            <w:r w:rsidRPr="009F5D45">
              <w:t>．</w:t>
            </w:r>
            <w:r w:rsidRPr="009F5D45">
              <w:tab/>
            </w:r>
            <w:r w:rsidRPr="009F5D45">
              <w:t>以主要承</w:t>
            </w:r>
            <w:r w:rsidRPr="009F5D45">
              <w:rPr>
                <w:rFonts w:hint="eastAsia"/>
              </w:rPr>
              <w:t>担者（第二位）国家自然科学基金项目“</w:t>
            </w:r>
            <w:r w:rsidRPr="009F5D45">
              <w:t>DEAH/RHA</w:t>
            </w:r>
            <w:r w:rsidRPr="009F5D45">
              <w:rPr>
                <w:rFonts w:hint="eastAsia"/>
              </w:rPr>
              <w:t>类</w:t>
            </w:r>
            <w:r w:rsidRPr="009F5D45">
              <w:t>RNA</w:t>
            </w:r>
            <w:r w:rsidRPr="009F5D45">
              <w:t>解旋</w:t>
            </w:r>
            <w:r w:rsidRPr="009F5D45">
              <w:rPr>
                <w:rFonts w:hint="eastAsia"/>
              </w:rPr>
              <w:t>酶</w:t>
            </w:r>
            <w:r w:rsidRPr="009F5D45">
              <w:t>AtRH59</w:t>
            </w:r>
            <w:r w:rsidRPr="009F5D45">
              <w:rPr>
                <w:rFonts w:hint="eastAsia"/>
              </w:rPr>
              <w:t>调控拟南</w:t>
            </w:r>
            <w:proofErr w:type="gramStart"/>
            <w:r w:rsidRPr="009F5D45">
              <w:rPr>
                <w:rFonts w:hint="eastAsia"/>
              </w:rPr>
              <w:t>芥</w:t>
            </w:r>
            <w:proofErr w:type="gramEnd"/>
            <w:r w:rsidRPr="009F5D45">
              <w:rPr>
                <w:rFonts w:hint="eastAsia"/>
              </w:rPr>
              <w:t>雌配子体发育的分子机理研究”（</w:t>
            </w:r>
            <w:r w:rsidRPr="009F5D45">
              <w:t>No:31170293</w:t>
            </w:r>
            <w:r w:rsidRPr="009F5D45">
              <w:t>第二位），完成了</w:t>
            </w:r>
            <w:r w:rsidRPr="009F5D45">
              <w:rPr>
                <w:rFonts w:hint="eastAsia"/>
              </w:rPr>
              <w:t>调控拟南</w:t>
            </w:r>
            <w:proofErr w:type="gramStart"/>
            <w:r w:rsidRPr="009F5D45">
              <w:rPr>
                <w:rFonts w:hint="eastAsia"/>
              </w:rPr>
              <w:t>芥</w:t>
            </w:r>
            <w:proofErr w:type="gramEnd"/>
            <w:r w:rsidRPr="009F5D45">
              <w:rPr>
                <w:rFonts w:hint="eastAsia"/>
              </w:rPr>
              <w:t>雌配子</w:t>
            </w:r>
            <w:r w:rsidRPr="009F5D45">
              <w:rPr>
                <w:rFonts w:hint="eastAsia"/>
              </w:rPr>
              <w:lastRenderedPageBreak/>
              <w:t>体发育分子调控信息的数据整合、关联、解析、植物细胞分子调控的系统模型工作。</w:t>
            </w:r>
            <w:r w:rsidRPr="009F5D45">
              <w:t xml:space="preserve">   </w:t>
            </w:r>
          </w:p>
          <w:p w:rsidR="00170158" w:rsidRPr="009F5D45" w:rsidRDefault="00170158" w:rsidP="00170158">
            <w:r w:rsidRPr="009F5D45">
              <w:t>4</w:t>
            </w:r>
            <w:r w:rsidRPr="009F5D45">
              <w:t>．</w:t>
            </w:r>
            <w:r w:rsidRPr="009F5D45">
              <w:tab/>
            </w:r>
            <w:r w:rsidRPr="009F5D45">
              <w:t>主持作物生物</w:t>
            </w:r>
            <w:r w:rsidRPr="009F5D45">
              <w:rPr>
                <w:rFonts w:hint="eastAsia"/>
              </w:rPr>
              <w:t>学国家重点实验室开放课题一项</w:t>
            </w:r>
          </w:p>
          <w:p w:rsidR="00170158" w:rsidRPr="00896D35" w:rsidRDefault="00170158" w:rsidP="00170158">
            <w:pPr>
              <w:rPr>
                <w:rFonts w:ascii="仿宋_GB2312" w:eastAsia="仿宋_GB2312" w:hAnsi="仿宋" w:cs="Times New Roman"/>
                <w:sz w:val="28"/>
                <w:szCs w:val="32"/>
              </w:rPr>
            </w:pPr>
            <w:r w:rsidRPr="009F5D45">
              <w:rPr>
                <w:rFonts w:hint="eastAsia"/>
              </w:rPr>
              <w:t>应用全基因组范围代谢网络揭示玉米花粉萌发和花粉管生长过程中关键新陈代谢途径的动态调控特性</w:t>
            </w:r>
            <w:r w:rsidRPr="009F5D45">
              <w:tab/>
            </w:r>
            <w:r w:rsidRPr="009F5D45">
              <w:t>作物生物</w:t>
            </w:r>
            <w:r w:rsidRPr="009F5D45">
              <w:rPr>
                <w:rFonts w:hint="eastAsia"/>
              </w:rPr>
              <w:t>学国家重点实验室开放课题</w:t>
            </w:r>
            <w:r w:rsidRPr="009F5D45">
              <w:tab/>
              <w:t>No: 2013KF12 2013/01-2016/12</w:t>
            </w:r>
          </w:p>
        </w:tc>
      </w:tr>
      <w:tr w:rsidR="00170158" w:rsidRPr="00896D35" w:rsidTr="008E165A">
        <w:tc>
          <w:tcPr>
            <w:tcW w:w="8522" w:type="dxa"/>
            <w:gridSpan w:val="7"/>
          </w:tcPr>
          <w:p w:rsidR="00170158" w:rsidRPr="00896D35" w:rsidRDefault="00170158" w:rsidP="00903B51">
            <w:pPr>
              <w:rPr>
                <w:rFonts w:ascii="仿宋_GB2312" w:eastAsia="仿宋_GB2312" w:hAnsi="仿宋" w:cs="Times New Roman"/>
                <w:sz w:val="28"/>
                <w:szCs w:val="32"/>
              </w:rPr>
            </w:pPr>
            <w:r w:rsidRPr="00896D35">
              <w:rPr>
                <w:rFonts w:ascii="仿宋_GB2312" w:eastAsia="仿宋_GB2312" w:hAnsi="仿宋" w:cs="Times New Roman"/>
                <w:sz w:val="28"/>
                <w:szCs w:val="32"/>
              </w:rPr>
              <w:lastRenderedPageBreak/>
              <w:t>学术论文</w:t>
            </w:r>
            <w:r w:rsidRPr="00896D35">
              <w:rPr>
                <w:rFonts w:ascii="仿宋_GB2312" w:eastAsia="仿宋_GB2312" w:hAnsi="仿宋" w:cs="Times New Roman" w:hint="eastAsia"/>
                <w:sz w:val="28"/>
                <w:szCs w:val="32"/>
              </w:rPr>
              <w:t>（2010-</w:t>
            </w:r>
            <w:r>
              <w:rPr>
                <w:rFonts w:ascii="仿宋_GB2312" w:eastAsia="仿宋_GB2312" w:hAnsi="仿宋" w:cs="Times New Roman" w:hint="eastAsia"/>
                <w:sz w:val="28"/>
                <w:szCs w:val="32"/>
              </w:rPr>
              <w:t>，以第一作者及通讯作者发表的</w:t>
            </w:r>
            <w:r w:rsidRPr="00896D35">
              <w:rPr>
                <w:rFonts w:ascii="仿宋_GB2312" w:eastAsia="仿宋_GB2312" w:hAnsi="仿宋" w:cs="Times New Roman" w:hint="eastAsia"/>
                <w:sz w:val="28"/>
                <w:szCs w:val="32"/>
              </w:rPr>
              <w:t>部分论文）</w:t>
            </w:r>
          </w:p>
        </w:tc>
      </w:tr>
      <w:tr w:rsidR="00170158" w:rsidRPr="00896D35" w:rsidTr="00896D35">
        <w:trPr>
          <w:trHeight w:val="912"/>
        </w:trPr>
        <w:tc>
          <w:tcPr>
            <w:tcW w:w="8522" w:type="dxa"/>
            <w:gridSpan w:val="7"/>
          </w:tcPr>
          <w:p w:rsidR="00FF20AC" w:rsidRDefault="00170158" w:rsidP="00170158">
            <w:pPr>
              <w:rPr>
                <w:rFonts w:hint="eastAsia"/>
              </w:rPr>
            </w:pPr>
            <w:r w:rsidRPr="009F5D45">
              <w:t>1</w:t>
            </w:r>
            <w:r w:rsidR="00FF20AC">
              <w:rPr>
                <w:rFonts w:hint="eastAsia"/>
              </w:rPr>
              <w:t xml:space="preserve"> </w:t>
            </w:r>
            <w:r w:rsidR="00653078" w:rsidRPr="009F5D45">
              <w:t>Transcriptional Evidence for Inferred Pattern of Pollen Tube-Stigma Metabolic Coupling During Pollination</w:t>
            </w:r>
            <w:r w:rsidR="00FF20AC">
              <w:rPr>
                <w:rFonts w:hint="eastAsia"/>
              </w:rPr>
              <w:t>，</w:t>
            </w:r>
            <w:r w:rsidR="00653078" w:rsidRPr="009F5D45">
              <w:t>PLOS  ONE</w:t>
            </w:r>
            <w:r w:rsidR="00FF20AC">
              <w:rPr>
                <w:rFonts w:hint="eastAsia"/>
              </w:rPr>
              <w:t>，</w:t>
            </w:r>
            <w:r w:rsidR="00653078" w:rsidRPr="009F5D45">
              <w:t>2014</w:t>
            </w:r>
            <w:r w:rsidR="00653078">
              <w:rPr>
                <w:rFonts w:hint="eastAsia"/>
              </w:rPr>
              <w:t>.</w:t>
            </w:r>
            <w:r w:rsidR="00653078" w:rsidRPr="009F5D45">
              <w:t>09</w:t>
            </w:r>
            <w:r w:rsidR="00FF20AC">
              <w:rPr>
                <w:rFonts w:hint="eastAsia"/>
              </w:rPr>
              <w:t>，</w:t>
            </w:r>
            <w:r w:rsidR="00653078" w:rsidRPr="009F5D45">
              <w:t>第一位</w:t>
            </w:r>
          </w:p>
          <w:p w:rsidR="00170158" w:rsidRDefault="00170158" w:rsidP="00170158">
            <w:r w:rsidRPr="009F5D45">
              <w:t>2</w:t>
            </w:r>
            <w:r w:rsidR="00FF20AC">
              <w:rPr>
                <w:rFonts w:hint="eastAsia"/>
              </w:rPr>
              <w:t xml:space="preserve"> </w:t>
            </w:r>
            <w:r w:rsidR="00653078" w:rsidRPr="009F5D45">
              <w:t xml:space="preserve">Circadian Rhythms </w:t>
            </w:r>
            <w:proofErr w:type="spellStart"/>
            <w:r w:rsidR="00653078" w:rsidRPr="009F5D45">
              <w:t>Synchronise</w:t>
            </w:r>
            <w:proofErr w:type="spellEnd"/>
            <w:r w:rsidR="00653078" w:rsidRPr="009F5D45">
              <w:t xml:space="preserve"> Intracellular Calcium Dynamics and ATP Production for Facilitating Arabidopsis Pollen Tube Growth</w:t>
            </w:r>
            <w:r w:rsidR="00653078" w:rsidRPr="009F5D45">
              <w:tab/>
              <w:t>Plant Signaling &amp; Behavior</w:t>
            </w:r>
            <w:r w:rsidR="00FF20AC">
              <w:rPr>
                <w:rFonts w:hint="eastAsia"/>
              </w:rPr>
              <w:t>，</w:t>
            </w:r>
            <w:r w:rsidR="00653078" w:rsidRPr="009F5D45">
              <w:t>2015</w:t>
            </w:r>
            <w:r w:rsidR="00653078">
              <w:rPr>
                <w:rFonts w:hint="eastAsia"/>
              </w:rPr>
              <w:t>.</w:t>
            </w:r>
            <w:r w:rsidR="00653078" w:rsidRPr="009F5D45">
              <w:t>06</w:t>
            </w:r>
            <w:r w:rsidR="00653078" w:rsidRPr="009F5D45">
              <w:tab/>
            </w:r>
            <w:r w:rsidR="00653078" w:rsidRPr="009F5D45">
              <w:t>第一位</w:t>
            </w:r>
          </w:p>
          <w:p w:rsidR="00653078" w:rsidRPr="009F5D45" w:rsidRDefault="00170158" w:rsidP="00653078">
            <w:r w:rsidRPr="009F5D45">
              <w:t>3</w:t>
            </w:r>
            <w:r w:rsidRPr="009F5D45">
              <w:tab/>
            </w:r>
            <w:r w:rsidR="00653078" w:rsidRPr="009F5D45">
              <w:t xml:space="preserve">The Arabidopsis </w:t>
            </w:r>
            <w:proofErr w:type="spellStart"/>
            <w:r w:rsidR="00653078" w:rsidRPr="009F5D45">
              <w:t>phytohormone</w:t>
            </w:r>
            <w:proofErr w:type="spellEnd"/>
            <w:r w:rsidR="00653078" w:rsidRPr="009F5D45">
              <w:t xml:space="preserve"> crosstalk network involves a consecutive metabolic route and circular control units of </w:t>
            </w:r>
            <w:proofErr w:type="spellStart"/>
            <w:r w:rsidR="00653078" w:rsidRPr="009F5D45">
              <w:t>ranscription</w:t>
            </w:r>
            <w:proofErr w:type="spellEnd"/>
            <w:r w:rsidR="00653078" w:rsidRPr="009F5D45">
              <w:t xml:space="preserve"> factors that regulate enzyme-encoding genes</w:t>
            </w:r>
            <w:r w:rsidR="00653078" w:rsidRPr="009F5D45">
              <w:tab/>
              <w:t>BMC Systems Biology. 2016-10</w:t>
            </w:r>
            <w:r w:rsidR="00FF20AC">
              <w:rPr>
                <w:rFonts w:hint="eastAsia"/>
              </w:rPr>
              <w:t>，</w:t>
            </w:r>
            <w:r w:rsidR="00653078" w:rsidRPr="009F5D45">
              <w:t>第一位，</w:t>
            </w:r>
            <w:r w:rsidR="00FF20AC" w:rsidRPr="009F5D45">
              <w:t xml:space="preserve"> </w:t>
            </w:r>
          </w:p>
          <w:p w:rsidR="00170158" w:rsidRPr="009F5D45" w:rsidRDefault="00170158" w:rsidP="00170158">
            <w:r w:rsidRPr="009F5D45">
              <w:t>4</w:t>
            </w:r>
            <w:r w:rsidRPr="009F5D45">
              <w:tab/>
            </w:r>
            <w:r w:rsidR="00653078" w:rsidRPr="009F5D45">
              <w:t>探析</w:t>
            </w:r>
            <w:r w:rsidR="00653078" w:rsidRPr="009F5D45">
              <w:rPr>
                <w:rFonts w:hint="eastAsia"/>
              </w:rPr>
              <w:t>辩证系统思维范式的理论内涵——基于植物细胞增殖的分子调控机理，系统科学学报</w:t>
            </w:r>
            <w:r w:rsidR="00653078">
              <w:rPr>
                <w:rFonts w:hint="eastAsia"/>
              </w:rPr>
              <w:t xml:space="preserve">.  </w:t>
            </w:r>
            <w:r w:rsidR="00653078" w:rsidRPr="009F5D45">
              <w:t>2017</w:t>
            </w:r>
            <w:r w:rsidR="00653078">
              <w:rPr>
                <w:rFonts w:hint="eastAsia"/>
              </w:rPr>
              <w:t>.</w:t>
            </w:r>
            <w:r w:rsidR="00653078" w:rsidRPr="009F5D45">
              <w:t>07</w:t>
            </w:r>
            <w:r w:rsidR="00653078" w:rsidRPr="009F5D45">
              <w:tab/>
            </w:r>
            <w:r w:rsidR="00653078">
              <w:rPr>
                <w:rFonts w:hint="eastAsia"/>
              </w:rPr>
              <w:t xml:space="preserve"> </w:t>
            </w:r>
            <w:r w:rsidR="00653078" w:rsidRPr="009F5D45">
              <w:t>第一位，</w:t>
            </w:r>
            <w:r w:rsidR="00653078" w:rsidRPr="009F5D45">
              <w:t>CSSCI</w:t>
            </w:r>
          </w:p>
          <w:p w:rsidR="00170158" w:rsidRDefault="00170158" w:rsidP="00170158">
            <w:r w:rsidRPr="009F5D45">
              <w:t>5</w:t>
            </w:r>
            <w:r w:rsidRPr="009F5D45">
              <w:tab/>
            </w:r>
            <w:r w:rsidRPr="009F5D45">
              <w:t>大</w:t>
            </w:r>
            <w:r w:rsidRPr="009F5D45">
              <w:rPr>
                <w:rFonts w:hint="eastAsia"/>
              </w:rPr>
              <w:t>数据驱动与领域知识引导的数字化生态系统全局演化相关性实证研究策略，大数据新时代</w:t>
            </w:r>
            <w:r w:rsidRPr="009F5D45">
              <w:t>.</w:t>
            </w:r>
            <w:r>
              <w:rPr>
                <w:rFonts w:hint="eastAsia"/>
              </w:rPr>
              <w:t xml:space="preserve"> </w:t>
            </w:r>
            <w:r>
              <w:rPr>
                <w:rFonts w:hint="eastAsia"/>
              </w:rPr>
              <w:t>大数据战略重点实验室编</w:t>
            </w:r>
            <w:r>
              <w:rPr>
                <w:rFonts w:hint="eastAsia"/>
              </w:rPr>
              <w:t xml:space="preserve"> </w:t>
            </w:r>
            <w:r w:rsidRPr="009F5D45">
              <w:rPr>
                <w:rFonts w:hint="eastAsia"/>
              </w:rPr>
              <w:t>连玉明主编，</w:t>
            </w:r>
            <w:r>
              <w:rPr>
                <w:rFonts w:hint="eastAsia"/>
              </w:rPr>
              <w:t>北京</w:t>
            </w:r>
            <w:r>
              <w:rPr>
                <w:rFonts w:hint="eastAsia"/>
              </w:rPr>
              <w:t xml:space="preserve"> </w:t>
            </w:r>
            <w:r>
              <w:rPr>
                <w:rFonts w:hint="eastAsia"/>
              </w:rPr>
              <w:t>团结出版社，</w:t>
            </w:r>
            <w:r w:rsidRPr="009F5D45">
              <w:t>2019.</w:t>
            </w:r>
            <w:r>
              <w:rPr>
                <w:rFonts w:hint="eastAsia"/>
              </w:rPr>
              <w:t>2</w:t>
            </w:r>
            <w:r w:rsidRPr="009F5D45">
              <w:t xml:space="preserve"> </w:t>
            </w:r>
            <w:r>
              <w:rPr>
                <w:rFonts w:hint="eastAsia"/>
              </w:rPr>
              <w:t xml:space="preserve">P63-84 ISBN 978-7-5126-6410-4 </w:t>
            </w:r>
            <w:r w:rsidRPr="009F5D45">
              <w:t>第一位</w:t>
            </w:r>
          </w:p>
          <w:p w:rsidR="00170158" w:rsidRDefault="00C65F8A" w:rsidP="00C65F8A">
            <w:pPr>
              <w:rPr>
                <w:rFonts w:hint="eastAsia"/>
              </w:rPr>
            </w:pPr>
            <w:r w:rsidRPr="00C65F8A">
              <w:rPr>
                <w:rFonts w:hint="eastAsia"/>
              </w:rPr>
              <w:t xml:space="preserve">6  </w:t>
            </w:r>
            <w:r w:rsidRPr="00C65F8A">
              <w:t>Deep Neural Networks in the View of Ecological Holism</w:t>
            </w:r>
            <w:r w:rsidRPr="00C65F8A">
              <w:rPr>
                <w:rFonts w:hint="eastAsia"/>
              </w:rPr>
              <w:t xml:space="preserve"> </w:t>
            </w:r>
            <w:r w:rsidRPr="00C65F8A">
              <w:rPr>
                <w:rFonts w:hint="eastAsia"/>
              </w:rPr>
              <w:t>，</w:t>
            </w:r>
            <w:r w:rsidRPr="009F5D45">
              <w:t>第一位</w:t>
            </w:r>
            <w:r w:rsidR="00FF20AC">
              <w:rPr>
                <w:rFonts w:hint="eastAsia"/>
              </w:rPr>
              <w:t>，</w:t>
            </w:r>
            <w:r w:rsidRPr="00C65F8A">
              <w:t>IO</w:t>
            </w:r>
            <w:r>
              <w:rPr>
                <w:rFonts w:hint="eastAsia"/>
              </w:rPr>
              <w:t>，</w:t>
            </w:r>
            <w:r w:rsidRPr="00C65F8A">
              <w:t>Conference Series:</w:t>
            </w:r>
            <w:r>
              <w:rPr>
                <w:rFonts w:hint="eastAsia"/>
              </w:rPr>
              <w:t xml:space="preserve"> </w:t>
            </w:r>
            <w:r w:rsidR="00653078">
              <w:rPr>
                <w:rFonts w:hint="eastAsia"/>
              </w:rPr>
              <w:t xml:space="preserve"> </w:t>
            </w:r>
            <w:proofErr w:type="spellStart"/>
            <w:r w:rsidRPr="00C65F8A">
              <w:t>Materiais</w:t>
            </w:r>
            <w:proofErr w:type="spellEnd"/>
            <w:r w:rsidRPr="00C65F8A">
              <w:t xml:space="preserve"> Science and Engineering:3rd International Conference on Artificial Intelligence Applications and Technologies</w:t>
            </w:r>
            <w:r>
              <w:rPr>
                <w:rFonts w:hint="eastAsia"/>
              </w:rPr>
              <w:t>，</w:t>
            </w:r>
            <w:r w:rsidRPr="00C65F8A">
              <w:t>2019.11</w:t>
            </w:r>
          </w:p>
          <w:p w:rsidR="007B7501" w:rsidRDefault="007B7501" w:rsidP="00915D63">
            <w:pPr>
              <w:rPr>
                <w:rFonts w:hint="eastAsia"/>
              </w:rPr>
            </w:pPr>
            <w:r>
              <w:rPr>
                <w:rFonts w:hint="eastAsia"/>
              </w:rPr>
              <w:t>7</w:t>
            </w:r>
            <w:r w:rsidR="00915D63">
              <w:rPr>
                <w:rFonts w:hint="eastAsia"/>
              </w:rPr>
              <w:t xml:space="preserve"> </w:t>
            </w:r>
            <w:r w:rsidR="00915D63" w:rsidRPr="00915D63">
              <w:rPr>
                <w:rFonts w:hint="eastAsia"/>
              </w:rPr>
              <w:t>新农科背景下智慧农业研究热点分析</w:t>
            </w:r>
            <w:r w:rsidR="00796620">
              <w:rPr>
                <w:rFonts w:hint="eastAsia"/>
              </w:rPr>
              <w:t>，</w:t>
            </w:r>
            <w:r w:rsidR="00915D63" w:rsidRPr="009F5D45">
              <w:t>通</w:t>
            </w:r>
            <w:r w:rsidR="00915D63" w:rsidRPr="009F5D45">
              <w:rPr>
                <w:rFonts w:hint="eastAsia"/>
              </w:rPr>
              <w:t>讯作者</w:t>
            </w:r>
            <w:r w:rsidR="00796620">
              <w:rPr>
                <w:rFonts w:hint="eastAsia"/>
              </w:rPr>
              <w:t>，</w:t>
            </w:r>
            <w:r w:rsidR="00915D63" w:rsidRPr="00915D63">
              <w:rPr>
                <w:rFonts w:hint="eastAsia"/>
              </w:rPr>
              <w:t>现代农业科技</w:t>
            </w:r>
            <w:r w:rsidR="00796620">
              <w:rPr>
                <w:rFonts w:hint="eastAsia"/>
              </w:rPr>
              <w:t>，</w:t>
            </w:r>
            <w:r w:rsidR="00915D63" w:rsidRPr="00915D63">
              <w:rPr>
                <w:rFonts w:hint="eastAsia"/>
              </w:rPr>
              <w:t>20</w:t>
            </w:r>
            <w:r w:rsidR="00915D63">
              <w:rPr>
                <w:rFonts w:hint="eastAsia"/>
              </w:rPr>
              <w:t>20</w:t>
            </w:r>
            <w:r w:rsidR="00915D63" w:rsidRPr="00915D63">
              <w:rPr>
                <w:rFonts w:hint="eastAsia"/>
              </w:rPr>
              <w:t>年第</w:t>
            </w:r>
            <w:r w:rsidR="00915D63" w:rsidRPr="00915D63">
              <w:rPr>
                <w:rFonts w:hint="eastAsia"/>
              </w:rPr>
              <w:t xml:space="preserve"> 20</w:t>
            </w:r>
            <w:r w:rsidR="00915D63" w:rsidRPr="00915D63">
              <w:rPr>
                <w:rFonts w:hint="eastAsia"/>
              </w:rPr>
              <w:t>期</w:t>
            </w:r>
          </w:p>
          <w:p w:rsidR="00A75E99" w:rsidRDefault="00A75E99" w:rsidP="00A75E99">
            <w:pPr>
              <w:rPr>
                <w:rFonts w:hint="eastAsia"/>
              </w:rPr>
            </w:pPr>
            <w:r>
              <w:rPr>
                <w:rFonts w:hint="eastAsia"/>
              </w:rPr>
              <w:t>8</w:t>
            </w:r>
            <w:r>
              <w:rPr>
                <w:rFonts w:hint="eastAsia"/>
              </w:rPr>
              <w:t xml:space="preserve"> </w:t>
            </w:r>
            <w:r w:rsidRPr="00A75E99">
              <w:rPr>
                <w:rFonts w:hint="eastAsia"/>
              </w:rPr>
              <w:t>数字智能城市产业生态系统的深度学习机器认知</w:t>
            </w:r>
            <w:r>
              <w:rPr>
                <w:rFonts w:hint="eastAsia"/>
              </w:rPr>
              <w:t>，</w:t>
            </w:r>
            <w:r w:rsidRPr="00A75E99">
              <w:rPr>
                <w:rFonts w:hint="eastAsia"/>
              </w:rPr>
              <w:t>中国人工智能学会通讯</w:t>
            </w:r>
            <w:r>
              <w:rPr>
                <w:rFonts w:hint="eastAsia"/>
              </w:rPr>
              <w:t>，</w:t>
            </w:r>
            <w:r w:rsidRPr="00A75E99">
              <w:rPr>
                <w:rFonts w:hint="eastAsia"/>
              </w:rPr>
              <w:t>第一作者</w:t>
            </w:r>
            <w:r>
              <w:rPr>
                <w:rFonts w:hint="eastAsia"/>
              </w:rPr>
              <w:t>，</w:t>
            </w:r>
            <w:r w:rsidRPr="00A75E99">
              <w:rPr>
                <w:rFonts w:hint="eastAsia"/>
              </w:rPr>
              <w:tab/>
            </w:r>
            <w:r w:rsidRPr="00A75E99">
              <w:rPr>
                <w:rFonts w:hint="eastAsia"/>
              </w:rPr>
              <w:tab/>
              <w:t>2020, 10</w:t>
            </w:r>
            <w:r w:rsidRPr="00A75E99">
              <w:rPr>
                <w:rFonts w:hint="eastAsia"/>
              </w:rPr>
              <w:tab/>
            </w:r>
          </w:p>
          <w:p w:rsidR="00796620" w:rsidRDefault="00A75E99" w:rsidP="00796620">
            <w:pPr>
              <w:ind w:left="420" w:hangingChars="200" w:hanging="420"/>
              <w:rPr>
                <w:rFonts w:hint="eastAsia"/>
              </w:rPr>
            </w:pPr>
            <w:r>
              <w:rPr>
                <w:rFonts w:hint="eastAsia"/>
              </w:rPr>
              <w:t xml:space="preserve">9 </w:t>
            </w:r>
            <w:r w:rsidRPr="00A75E99">
              <w:rPr>
                <w:rFonts w:hint="eastAsia"/>
              </w:rPr>
              <w:t>引领式空中汉字展示无人机集群的仿真研究</w:t>
            </w:r>
            <w:r>
              <w:rPr>
                <w:rFonts w:hint="eastAsia"/>
              </w:rPr>
              <w:t>，</w:t>
            </w:r>
            <w:r w:rsidRPr="00A75E99">
              <w:rPr>
                <w:rFonts w:hint="eastAsia"/>
              </w:rPr>
              <w:t>无人系统技术</w:t>
            </w:r>
            <w:r>
              <w:rPr>
                <w:rFonts w:hint="eastAsia"/>
              </w:rPr>
              <w:t>，</w:t>
            </w:r>
            <w:r w:rsidRPr="00A75E99">
              <w:rPr>
                <w:rFonts w:hint="eastAsia"/>
              </w:rPr>
              <w:t>通讯作者</w:t>
            </w:r>
            <w:r>
              <w:rPr>
                <w:rFonts w:hint="eastAsia"/>
              </w:rPr>
              <w:t>，</w:t>
            </w:r>
            <w:r w:rsidR="00796620" w:rsidRPr="00A75E99">
              <w:rPr>
                <w:rFonts w:hint="eastAsia"/>
              </w:rPr>
              <w:t xml:space="preserve">2021 </w:t>
            </w:r>
            <w:r w:rsidR="00796620" w:rsidRPr="00A75E99">
              <w:rPr>
                <w:rFonts w:hint="eastAsia"/>
              </w:rPr>
              <w:t>年</w:t>
            </w:r>
            <w:r w:rsidR="00796620">
              <w:rPr>
                <w:rFonts w:hint="eastAsia"/>
              </w:rPr>
              <w:t>，</w:t>
            </w:r>
            <w:r w:rsidRPr="00A75E99">
              <w:rPr>
                <w:rFonts w:hint="eastAsia"/>
              </w:rPr>
              <w:t>第</w:t>
            </w:r>
            <w:r w:rsidRPr="00A75E99">
              <w:rPr>
                <w:rFonts w:hint="eastAsia"/>
              </w:rPr>
              <w:t xml:space="preserve">4 </w:t>
            </w:r>
            <w:r w:rsidRPr="00A75E99">
              <w:rPr>
                <w:rFonts w:hint="eastAsia"/>
              </w:rPr>
              <w:t>卷第</w:t>
            </w:r>
            <w:r w:rsidRPr="00A75E99">
              <w:rPr>
                <w:rFonts w:hint="eastAsia"/>
              </w:rPr>
              <w:t xml:space="preserve">3 </w:t>
            </w:r>
            <w:r w:rsidRPr="00A75E99">
              <w:rPr>
                <w:rFonts w:hint="eastAsia"/>
              </w:rPr>
              <w:t>期</w:t>
            </w:r>
            <w:r w:rsidRPr="00A75E99">
              <w:rPr>
                <w:rFonts w:hint="eastAsia"/>
              </w:rPr>
              <w:t xml:space="preserve"> </w:t>
            </w:r>
          </w:p>
          <w:p w:rsidR="00A75E99" w:rsidRPr="00A75E99" w:rsidRDefault="00A75E99" w:rsidP="00A75E99">
            <w:r w:rsidRPr="00A75E99">
              <w:t>10</w:t>
            </w:r>
            <w:r>
              <w:rPr>
                <w:rFonts w:hint="eastAsia"/>
              </w:rPr>
              <w:t xml:space="preserve">  </w:t>
            </w:r>
            <w:r w:rsidRPr="00A75E99">
              <w:t>Simulation of multiple unmanned aerial vehicles for compensatory</w:t>
            </w:r>
            <w:r>
              <w:rPr>
                <w:rFonts w:hint="eastAsia"/>
              </w:rPr>
              <w:t xml:space="preserve"> </w:t>
            </w:r>
            <w:r w:rsidRPr="00A75E99">
              <w:rPr>
                <w:rFonts w:hint="eastAsia"/>
              </w:rPr>
              <w:t>pollination in facility agriculture</w:t>
            </w:r>
            <w:r>
              <w:rPr>
                <w:rFonts w:hint="eastAsia"/>
              </w:rPr>
              <w:t>，</w:t>
            </w:r>
            <w:r w:rsidRPr="00A75E99">
              <w:rPr>
                <w:rFonts w:hint="eastAsia"/>
              </w:rPr>
              <w:t>Journal of Physics: Conference Ser</w:t>
            </w:r>
            <w:r>
              <w:rPr>
                <w:rFonts w:hint="eastAsia"/>
              </w:rPr>
              <w:t>ies. Volume 2005 ISSN:1742-6588</w:t>
            </w:r>
            <w:r>
              <w:rPr>
                <w:rFonts w:hint="eastAsia"/>
              </w:rPr>
              <w:t>，</w:t>
            </w:r>
            <w:r w:rsidRPr="00A75E99">
              <w:rPr>
                <w:rFonts w:hint="eastAsia"/>
              </w:rPr>
              <w:t>通讯作者</w:t>
            </w:r>
            <w:r>
              <w:rPr>
                <w:rFonts w:hint="eastAsia"/>
              </w:rPr>
              <w:t>，</w:t>
            </w:r>
            <w:r w:rsidRPr="00A75E99">
              <w:rPr>
                <w:rFonts w:hint="eastAsia"/>
              </w:rPr>
              <w:t>EI:20216994702317</w:t>
            </w:r>
            <w:r>
              <w:rPr>
                <w:rFonts w:hint="eastAsia"/>
              </w:rPr>
              <w:t>，</w:t>
            </w:r>
            <w:r w:rsidRPr="00A75E99">
              <w:rPr>
                <w:rFonts w:hint="eastAsia"/>
              </w:rPr>
              <w:t>2021 International Conference on Information Technology and Smart Agriculture</w:t>
            </w:r>
            <w:r w:rsidRPr="00A75E99">
              <w:tab/>
            </w:r>
          </w:p>
          <w:p w:rsidR="00A75E99" w:rsidRPr="00A75E99" w:rsidRDefault="00A75E99" w:rsidP="00A75E99">
            <w:pPr>
              <w:rPr>
                <w:rFonts w:hint="eastAsia"/>
              </w:rPr>
            </w:pPr>
            <w:r>
              <w:rPr>
                <w:rFonts w:hint="eastAsia"/>
              </w:rPr>
              <w:t>11</w:t>
            </w:r>
            <w:r w:rsidRPr="00A75E99">
              <w:rPr>
                <w:rFonts w:hint="eastAsia"/>
              </w:rPr>
              <w:tab/>
            </w:r>
            <w:r w:rsidRPr="00A75E99">
              <w:rPr>
                <w:rFonts w:hint="eastAsia"/>
              </w:rPr>
              <w:t>多旋翼授粉无人机的作业航迹规划</w:t>
            </w:r>
            <w:r>
              <w:rPr>
                <w:rFonts w:hint="eastAsia"/>
              </w:rPr>
              <w:t>，</w:t>
            </w:r>
            <w:r w:rsidRPr="00A75E99">
              <w:rPr>
                <w:rFonts w:hint="eastAsia"/>
              </w:rPr>
              <w:t>中国农学通报</w:t>
            </w:r>
            <w:r>
              <w:rPr>
                <w:rFonts w:hint="eastAsia"/>
              </w:rPr>
              <w:t>，</w:t>
            </w:r>
            <w:r w:rsidRPr="00A75E99">
              <w:rPr>
                <w:rFonts w:hint="eastAsia"/>
              </w:rPr>
              <w:t>通讯作者</w:t>
            </w:r>
            <w:r>
              <w:rPr>
                <w:rFonts w:hint="eastAsia"/>
              </w:rPr>
              <w:t>，</w:t>
            </w:r>
            <w:r w:rsidRPr="00A75E99">
              <w:rPr>
                <w:rFonts w:hint="eastAsia"/>
              </w:rPr>
              <w:t>中国农学通报</w:t>
            </w:r>
            <w:r w:rsidRPr="00A75E99">
              <w:rPr>
                <w:rFonts w:hint="eastAsia"/>
              </w:rPr>
              <w:t>,2022,38(18):159-164.</w:t>
            </w:r>
            <w:r w:rsidRPr="00A75E99">
              <w:rPr>
                <w:rFonts w:hint="eastAsia"/>
              </w:rPr>
              <w:tab/>
            </w:r>
          </w:p>
          <w:p w:rsidR="00A75E99" w:rsidRPr="00896D35" w:rsidRDefault="00A75E99" w:rsidP="00A75E99">
            <w:pPr>
              <w:rPr>
                <w:rFonts w:ascii="仿宋_GB2312" w:eastAsia="仿宋_GB2312" w:hAnsi="仿宋" w:cs="Times New Roman"/>
                <w:sz w:val="28"/>
                <w:szCs w:val="32"/>
              </w:rPr>
            </w:pPr>
            <w:r>
              <w:rPr>
                <w:rFonts w:hint="eastAsia"/>
              </w:rPr>
              <w:t>12</w:t>
            </w:r>
            <w:r w:rsidRPr="00A75E99">
              <w:rPr>
                <w:rFonts w:hint="eastAsia"/>
              </w:rPr>
              <w:tab/>
            </w:r>
            <w:r w:rsidRPr="00A75E99">
              <w:rPr>
                <w:rFonts w:hint="eastAsia"/>
              </w:rPr>
              <w:t>果园花期恶劣气候下的多旋翼无人机补偿性授粉仿真</w:t>
            </w:r>
            <w:r>
              <w:rPr>
                <w:rFonts w:hint="eastAsia"/>
              </w:rPr>
              <w:t>，</w:t>
            </w:r>
            <w:r w:rsidRPr="00A75E99">
              <w:rPr>
                <w:rFonts w:hint="eastAsia"/>
              </w:rPr>
              <w:t>农机化研究</w:t>
            </w:r>
            <w:r>
              <w:rPr>
                <w:rFonts w:hint="eastAsia"/>
              </w:rPr>
              <w:t>，</w:t>
            </w:r>
            <w:r w:rsidRPr="00A75E99">
              <w:rPr>
                <w:rFonts w:hint="eastAsia"/>
              </w:rPr>
              <w:t>通讯作者</w:t>
            </w:r>
            <w:r>
              <w:rPr>
                <w:rFonts w:hint="eastAsia"/>
              </w:rPr>
              <w:t>，</w:t>
            </w:r>
            <w:r w:rsidRPr="00A75E99">
              <w:rPr>
                <w:rFonts w:hint="eastAsia"/>
              </w:rPr>
              <w:t>2023</w:t>
            </w:r>
            <w:r w:rsidRPr="00A75E99">
              <w:rPr>
                <w:rFonts w:hint="eastAsia"/>
              </w:rPr>
              <w:t>年第</w:t>
            </w:r>
            <w:r w:rsidRPr="00A75E99">
              <w:rPr>
                <w:rFonts w:hint="eastAsia"/>
              </w:rPr>
              <w:t>6</w:t>
            </w:r>
            <w:r w:rsidRPr="00A75E99">
              <w:rPr>
                <w:rFonts w:hint="eastAsia"/>
              </w:rPr>
              <w:t>期</w:t>
            </w:r>
          </w:p>
        </w:tc>
      </w:tr>
    </w:tbl>
    <w:p w:rsidR="00E8404B" w:rsidRPr="00E8404B" w:rsidRDefault="00E8404B">
      <w:pPr>
        <w:rPr>
          <w:rFonts w:ascii="仿宋_GB2312" w:eastAsia="仿宋_GB2312" w:hAnsi="仿宋" w:cs="Times New Roman"/>
          <w:sz w:val="32"/>
          <w:szCs w:val="32"/>
        </w:rPr>
      </w:pPr>
    </w:p>
    <w:sectPr w:rsidR="00E8404B" w:rsidRPr="00E840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643" w:rsidRDefault="00263643" w:rsidP="005D1DBA">
      <w:r>
        <w:separator/>
      </w:r>
    </w:p>
  </w:endnote>
  <w:endnote w:type="continuationSeparator" w:id="0">
    <w:p w:rsidR="00263643" w:rsidRDefault="00263643" w:rsidP="005D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643" w:rsidRDefault="00263643" w:rsidP="005D1DBA">
      <w:r>
        <w:separator/>
      </w:r>
    </w:p>
  </w:footnote>
  <w:footnote w:type="continuationSeparator" w:id="0">
    <w:p w:rsidR="00263643" w:rsidRDefault="00263643" w:rsidP="005D1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41"/>
    <w:rsid w:val="00016E7E"/>
    <w:rsid w:val="00170158"/>
    <w:rsid w:val="002436F0"/>
    <w:rsid w:val="00263643"/>
    <w:rsid w:val="002E574A"/>
    <w:rsid w:val="0030218D"/>
    <w:rsid w:val="00432D66"/>
    <w:rsid w:val="005D1DBA"/>
    <w:rsid w:val="00653078"/>
    <w:rsid w:val="00756D1B"/>
    <w:rsid w:val="007675C4"/>
    <w:rsid w:val="00790741"/>
    <w:rsid w:val="00796620"/>
    <w:rsid w:val="007A4C39"/>
    <w:rsid w:val="007B7501"/>
    <w:rsid w:val="007D6D70"/>
    <w:rsid w:val="00840D2F"/>
    <w:rsid w:val="00896D35"/>
    <w:rsid w:val="00903B51"/>
    <w:rsid w:val="00915D63"/>
    <w:rsid w:val="00931FC5"/>
    <w:rsid w:val="00A75E99"/>
    <w:rsid w:val="00AE4B27"/>
    <w:rsid w:val="00B877E4"/>
    <w:rsid w:val="00BA3EE9"/>
    <w:rsid w:val="00C65F8A"/>
    <w:rsid w:val="00C75B68"/>
    <w:rsid w:val="00C82B30"/>
    <w:rsid w:val="00CA2CC6"/>
    <w:rsid w:val="00CA47D8"/>
    <w:rsid w:val="00D1065B"/>
    <w:rsid w:val="00D9437B"/>
    <w:rsid w:val="00DD12C1"/>
    <w:rsid w:val="00DF62D0"/>
    <w:rsid w:val="00E02198"/>
    <w:rsid w:val="00E06314"/>
    <w:rsid w:val="00E8404B"/>
    <w:rsid w:val="00F8580D"/>
    <w:rsid w:val="00FF2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8404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D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DBA"/>
    <w:rPr>
      <w:sz w:val="18"/>
      <w:szCs w:val="18"/>
    </w:rPr>
  </w:style>
  <w:style w:type="paragraph" w:styleId="a4">
    <w:name w:val="footer"/>
    <w:basedOn w:val="a"/>
    <w:link w:val="Char0"/>
    <w:uiPriority w:val="99"/>
    <w:unhideWhenUsed/>
    <w:rsid w:val="005D1DBA"/>
    <w:pPr>
      <w:tabs>
        <w:tab w:val="center" w:pos="4153"/>
        <w:tab w:val="right" w:pos="8306"/>
      </w:tabs>
      <w:snapToGrid w:val="0"/>
      <w:jc w:val="left"/>
    </w:pPr>
    <w:rPr>
      <w:sz w:val="18"/>
      <w:szCs w:val="18"/>
    </w:rPr>
  </w:style>
  <w:style w:type="character" w:customStyle="1" w:styleId="Char0">
    <w:name w:val="页脚 Char"/>
    <w:basedOn w:val="a0"/>
    <w:link w:val="a4"/>
    <w:uiPriority w:val="99"/>
    <w:rsid w:val="005D1DBA"/>
    <w:rPr>
      <w:sz w:val="18"/>
      <w:szCs w:val="18"/>
    </w:rPr>
  </w:style>
  <w:style w:type="paragraph" w:customStyle="1" w:styleId="vsbcontentstart">
    <w:name w:val="vsbcontent_start"/>
    <w:basedOn w:val="a"/>
    <w:rsid w:val="00E8404B"/>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8404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E8404B"/>
    <w:rPr>
      <w:color w:val="0000FF"/>
      <w:u w:val="single"/>
    </w:rPr>
  </w:style>
  <w:style w:type="character" w:customStyle="1" w:styleId="3Char">
    <w:name w:val="标题 3 Char"/>
    <w:basedOn w:val="a0"/>
    <w:link w:val="3"/>
    <w:uiPriority w:val="9"/>
    <w:rsid w:val="00E8404B"/>
    <w:rPr>
      <w:rFonts w:ascii="宋体" w:eastAsia="宋体" w:hAnsi="宋体" w:cs="宋体"/>
      <w:b/>
      <w:bCs/>
      <w:kern w:val="0"/>
      <w:sz w:val="27"/>
      <w:szCs w:val="27"/>
    </w:rPr>
  </w:style>
  <w:style w:type="table" w:styleId="a7">
    <w:name w:val="Table Grid"/>
    <w:basedOn w:val="a1"/>
    <w:uiPriority w:val="59"/>
    <w:rsid w:val="00E84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170158"/>
    <w:rPr>
      <w:sz w:val="18"/>
      <w:szCs w:val="18"/>
    </w:rPr>
  </w:style>
  <w:style w:type="character" w:customStyle="1" w:styleId="Char1">
    <w:name w:val="批注框文本 Char"/>
    <w:basedOn w:val="a0"/>
    <w:link w:val="a8"/>
    <w:uiPriority w:val="99"/>
    <w:semiHidden/>
    <w:rsid w:val="001701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8404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1D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1DBA"/>
    <w:rPr>
      <w:sz w:val="18"/>
      <w:szCs w:val="18"/>
    </w:rPr>
  </w:style>
  <w:style w:type="paragraph" w:styleId="a4">
    <w:name w:val="footer"/>
    <w:basedOn w:val="a"/>
    <w:link w:val="Char0"/>
    <w:uiPriority w:val="99"/>
    <w:unhideWhenUsed/>
    <w:rsid w:val="005D1DBA"/>
    <w:pPr>
      <w:tabs>
        <w:tab w:val="center" w:pos="4153"/>
        <w:tab w:val="right" w:pos="8306"/>
      </w:tabs>
      <w:snapToGrid w:val="0"/>
      <w:jc w:val="left"/>
    </w:pPr>
    <w:rPr>
      <w:sz w:val="18"/>
      <w:szCs w:val="18"/>
    </w:rPr>
  </w:style>
  <w:style w:type="character" w:customStyle="1" w:styleId="Char0">
    <w:name w:val="页脚 Char"/>
    <w:basedOn w:val="a0"/>
    <w:link w:val="a4"/>
    <w:uiPriority w:val="99"/>
    <w:rsid w:val="005D1DBA"/>
    <w:rPr>
      <w:sz w:val="18"/>
      <w:szCs w:val="18"/>
    </w:rPr>
  </w:style>
  <w:style w:type="paragraph" w:customStyle="1" w:styleId="vsbcontentstart">
    <w:name w:val="vsbcontent_start"/>
    <w:basedOn w:val="a"/>
    <w:rsid w:val="00E8404B"/>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8404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E8404B"/>
    <w:rPr>
      <w:color w:val="0000FF"/>
      <w:u w:val="single"/>
    </w:rPr>
  </w:style>
  <w:style w:type="character" w:customStyle="1" w:styleId="3Char">
    <w:name w:val="标题 3 Char"/>
    <w:basedOn w:val="a0"/>
    <w:link w:val="3"/>
    <w:uiPriority w:val="9"/>
    <w:rsid w:val="00E8404B"/>
    <w:rPr>
      <w:rFonts w:ascii="宋体" w:eastAsia="宋体" w:hAnsi="宋体" w:cs="宋体"/>
      <w:b/>
      <w:bCs/>
      <w:kern w:val="0"/>
      <w:sz w:val="27"/>
      <w:szCs w:val="27"/>
    </w:rPr>
  </w:style>
  <w:style w:type="table" w:styleId="a7">
    <w:name w:val="Table Grid"/>
    <w:basedOn w:val="a1"/>
    <w:uiPriority w:val="59"/>
    <w:rsid w:val="00E84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170158"/>
    <w:rPr>
      <w:sz w:val="18"/>
      <w:szCs w:val="18"/>
    </w:rPr>
  </w:style>
  <w:style w:type="character" w:customStyle="1" w:styleId="Char1">
    <w:name w:val="批注框文本 Char"/>
    <w:basedOn w:val="a0"/>
    <w:link w:val="a8"/>
    <w:uiPriority w:val="99"/>
    <w:semiHidden/>
    <w:rsid w:val="001701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482">
      <w:bodyDiv w:val="1"/>
      <w:marLeft w:val="0"/>
      <w:marRight w:val="0"/>
      <w:marTop w:val="0"/>
      <w:marBottom w:val="0"/>
      <w:divBdr>
        <w:top w:val="none" w:sz="0" w:space="0" w:color="auto"/>
        <w:left w:val="none" w:sz="0" w:space="0" w:color="auto"/>
        <w:bottom w:val="none" w:sz="0" w:space="0" w:color="auto"/>
        <w:right w:val="none" w:sz="0" w:space="0" w:color="auto"/>
      </w:divBdr>
    </w:div>
    <w:div w:id="5537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zhouhu</dc:creator>
  <cp:lastModifiedBy>lenovo</cp:lastModifiedBy>
  <cp:revision>3</cp:revision>
  <dcterms:created xsi:type="dcterms:W3CDTF">2024-01-27T04:57:00Z</dcterms:created>
  <dcterms:modified xsi:type="dcterms:W3CDTF">2024-01-27T04:58:00Z</dcterms:modified>
</cp:coreProperties>
</file>