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信息学院教师简介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22"/>
        <w:gridCol w:w="1160"/>
        <w:gridCol w:w="815"/>
        <w:gridCol w:w="1136"/>
        <w:gridCol w:w="1136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32"/>
                <w:lang w:eastAsia="zh-CN"/>
              </w:rPr>
              <w:drawing>
                <wp:inline distT="0" distB="0" distL="114300" distR="114300">
                  <wp:extent cx="1136650" cy="1682115"/>
                  <wp:effectExtent l="0" t="0" r="6350" b="6985"/>
                  <wp:docPr id="2" name="图片 2" descr="李爱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爱凤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姓名</w:t>
            </w:r>
          </w:p>
        </w:tc>
        <w:tc>
          <w:tcPr>
            <w:tcW w:w="1160" w:type="dxa"/>
          </w:tcPr>
          <w:p>
            <w:pPr>
              <w:jc w:val="left"/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李爱凤</w:t>
            </w:r>
          </w:p>
        </w:tc>
        <w:tc>
          <w:tcPr>
            <w:tcW w:w="815" w:type="dxa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学历</w:t>
            </w:r>
          </w:p>
        </w:tc>
        <w:tc>
          <w:tcPr>
            <w:tcW w:w="113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博士</w:t>
            </w:r>
          </w:p>
          <w:p>
            <w:pPr>
              <w:jc w:val="left"/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136" w:type="dxa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职称</w:t>
            </w:r>
          </w:p>
        </w:tc>
        <w:tc>
          <w:tcPr>
            <w:tcW w:w="1137" w:type="dxa"/>
          </w:tcPr>
          <w:p>
            <w:pPr>
              <w:rPr>
                <w:rFonts w:hint="eastAsia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16" w:type="dxa"/>
            <w:vMerge w:val="continue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</w:p>
        </w:tc>
        <w:tc>
          <w:tcPr>
            <w:tcW w:w="1122" w:type="dxa"/>
          </w:tcPr>
          <w:p>
            <w:pPr>
              <w:rPr>
                <w:rFonts w:ascii="仿宋_GB2312" w:hAnsi="仿宋" w:eastAsia="仿宋_GB2312" w:cs="Times New Roman"/>
                <w:spacing w:val="-20"/>
                <w:w w:val="90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5384" w:type="dxa"/>
            <w:gridSpan w:val="5"/>
          </w:tcPr>
          <w:p>
            <w:pPr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信息科学与工程学院 电子与通信工程系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16" w:type="dxa"/>
            <w:vMerge w:val="continue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</w:p>
        </w:tc>
        <w:tc>
          <w:tcPr>
            <w:tcW w:w="1122" w:type="dxa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5384" w:type="dxa"/>
            <w:gridSpan w:val="5"/>
          </w:tcPr>
          <w:p>
            <w:pPr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liaf@sdau.edu.cn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522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" w:eastAsia="宋体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李爱凤，女，山东安丘人，博士，副教授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硕士生导师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。2003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月至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月在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山东大学硕博连读（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中国科学院高能物理所联合培养），2008年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6月获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得粒子物理与原子核物理博士学位。2005年加入西藏羊八井中日AS gamma 国际实验组，期间主要在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中国科学院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高能物理所从事高能宇宙线实验数据分析的工作，2006 年获得了山东大学校长奖学金；2008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至今，山东农业大学，副教授。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2019年9月至2020年3月到中国科学院高能物理所做访问学者。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主要从事高能宇宙线实验数据分析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粒子天体理论物理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微波天线、电磁波计算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农业信息化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农业图像数据处理方向研究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。主持山东省自然基金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面上项目2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山东农业大学青年创新基金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国家自然基金地区基金子课题1项；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国家自然基金联合基金子课题1项；主持中国科学院项目1项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主持泰安市科技发展计划项目1项。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发表国内外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EI检索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论文10 余篇。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副主编教材1部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522" w:type="dxa"/>
            <w:gridSpan w:val="7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主要教授《电磁场与电磁波》、《微波技术》以及《微波技术实验》等课程教学。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522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能宇宙线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理论研究和</w:t>
            </w:r>
            <w:r>
              <w:rPr>
                <w:rFonts w:ascii="宋体" w:hAnsi="宋体" w:eastAsia="宋体" w:cs="宋体"/>
                <w:sz w:val="24"/>
                <w:szCs w:val="24"/>
              </w:rPr>
              <w:t>实验数据分析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（2）农业信息化，农业图像数据处理。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（3）微波天线，电磁计算。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（1）主持山东省自然基金面上项目“利用AS gamma Tibet III 阵列实验数据研究宇宙线各向异性周期”（2009年1月-2012年12月）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主持国家自然金地区基金“面向宇宙线‘膝’区物理的小规模热中子探测器阵列技术研究”子课题1项（2019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主持国家自然基金联合基金“利用LHAASO-WCDA实验测量大尺度各向异性和宇宙线3D传播研究”子课题1项（2020年）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（4）主持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山东省自然基金面上项目“TeV 宇宙线各向异性传播的研究”（2020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主持中国科学院项目“基于羊八井宇宙线实验各向异性观测结果研究宇宙线扩散系数”1项（2020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主持泰安市科技发展计划项目“面向5G通信的双频宽频带天线的设计研究”1项（厅级）（2019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参与西班牙空间计划项目“Determination of Soil Moisture and VWC by Reflected GNSS”1项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Updated study on multi-TeV cosmic-ray modulation with the Tibet air shower array using the east-west method.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LI Ai-Feng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BI Xiao-Jun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etal.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Chinese Physics C Vol. 37, No. 3 (2013) 035001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Two Numerical Methods for the 3D Anisotropic Propagation of Galactic Cosmic Rays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Wei Liu , Su-jie Lin , Hong-bo Hu, , Yi-qing Guo , and Ai-feng Li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The Astrophysical Journal, 892:6 (7pp), 2020 March 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Study on the Optical Properties of Hig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Refractive Index TeO2-PbO-ZnO-BaF2 Glass System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 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hiyu Yin, Hao Wang, Aifeng Li,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Haoyu Huang , Jing Zhang, Lin Liu,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and Yuanzhi Zhu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Advances in Materials Science and Engineering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Volume 2021, Article ID 6466344, 9 pages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Study on Radiation Shielding Properties of New Barium-Doped Zinc Tellurite Glass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Shiyu Yin, Hao Wang, Aifeng Li, Zhongjian Ma and Yintong He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Materials 2022, 15, 2117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Design of a Broadband Microstrip Quasi-Yagi Antenna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Li Ai Feng, Zhao Yong Heng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2019 2nd IEEE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International Conference on Information Communication and Signal Processing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Design of a Broadband Dual-Band Antenna Based on WLAN Communication Protocol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Li Ai Feng , Zhao Yong Heng , Wang Zhi Jun ,Liu Zi Chao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2021 IEEE the 6th International Conference on Computer and Communication Systems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（7）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Design of a Broadband Microstrip Quasi-Yagi Antenna with Split-Ring Resonators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Li Ai Feng, Zhao Yong Heng , Wang Zhi Ju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n.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2021 IEEE the 6th International Conference on Computer and Communication Systems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（8）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 Microstrip Quasi-Yagi Antenna with E-type reflector and Split-Ring Resonators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Aifeng Li, Shaoqi Yang, Wenning Wang.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ICCIP 2021, December 16–18, 2021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教材专著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副主编《大学物理实验》经济科学出版社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hAnsi="仿宋" w:eastAsia="仿宋_GB2312" w:cs="Times New Roman"/>
                <w:sz w:val="28"/>
                <w:szCs w:val="32"/>
              </w:rPr>
            </w:pPr>
            <w:r>
              <w:rPr>
                <w:rFonts w:ascii="仿宋_GB2312" w:hAnsi="仿宋" w:eastAsia="仿宋_GB2312" w:cs="Times New Roman"/>
                <w:sz w:val="28"/>
                <w:szCs w:val="32"/>
              </w:rPr>
              <w:t>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（1）一种适用于5G通信具有谐振枝节的双频印刷单极子天线（实用新型专利2020）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（2）基于树莓派手势识别的智能家居控制系统（实用新型专利2020）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（3）一种室内空气质量监测与改良系统（实用新型专利2018）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（4）一种智能导盲拐杖（实用新型专利2018）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（5）一种老年人智能手环（实用新型专利2018）</w:t>
            </w:r>
          </w:p>
        </w:tc>
      </w:tr>
    </w:tbl>
    <w:p>
      <w:pPr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OWFlNWNmYWFhOTAyMzM0YmIwNWY4ZDExYTgwZGYifQ=="/>
  </w:docVars>
  <w:rsids>
    <w:rsidRoot w:val="00790741"/>
    <w:rsid w:val="00016E7E"/>
    <w:rsid w:val="002E574A"/>
    <w:rsid w:val="005D1DBA"/>
    <w:rsid w:val="00736CF9"/>
    <w:rsid w:val="00756D1B"/>
    <w:rsid w:val="007675C4"/>
    <w:rsid w:val="00790741"/>
    <w:rsid w:val="007A4C39"/>
    <w:rsid w:val="007D6D70"/>
    <w:rsid w:val="00896D35"/>
    <w:rsid w:val="00A26C4B"/>
    <w:rsid w:val="00B877E4"/>
    <w:rsid w:val="00BF02C8"/>
    <w:rsid w:val="00CA47D8"/>
    <w:rsid w:val="00D1065B"/>
    <w:rsid w:val="00D863B9"/>
    <w:rsid w:val="00DF62D0"/>
    <w:rsid w:val="00E02198"/>
    <w:rsid w:val="00E06314"/>
    <w:rsid w:val="00E8404B"/>
    <w:rsid w:val="030C20E9"/>
    <w:rsid w:val="08DB1B10"/>
    <w:rsid w:val="093B5203"/>
    <w:rsid w:val="09AF4121"/>
    <w:rsid w:val="0B4D4582"/>
    <w:rsid w:val="0F6058F8"/>
    <w:rsid w:val="0FE4264A"/>
    <w:rsid w:val="10EA6522"/>
    <w:rsid w:val="12D1335A"/>
    <w:rsid w:val="146470EB"/>
    <w:rsid w:val="15502866"/>
    <w:rsid w:val="1735503B"/>
    <w:rsid w:val="17941190"/>
    <w:rsid w:val="181B0BD3"/>
    <w:rsid w:val="18B94D72"/>
    <w:rsid w:val="194B4CAD"/>
    <w:rsid w:val="1D037763"/>
    <w:rsid w:val="1D1C4FB7"/>
    <w:rsid w:val="1ED56D35"/>
    <w:rsid w:val="256576FC"/>
    <w:rsid w:val="293E77B9"/>
    <w:rsid w:val="2B7335D1"/>
    <w:rsid w:val="2DE0260B"/>
    <w:rsid w:val="2EF57F78"/>
    <w:rsid w:val="31B46645"/>
    <w:rsid w:val="329A6E6D"/>
    <w:rsid w:val="35643ACC"/>
    <w:rsid w:val="35987CF7"/>
    <w:rsid w:val="370C236A"/>
    <w:rsid w:val="38777FED"/>
    <w:rsid w:val="39780EC5"/>
    <w:rsid w:val="3F1F465F"/>
    <w:rsid w:val="41123C58"/>
    <w:rsid w:val="41581D3B"/>
    <w:rsid w:val="43CB5788"/>
    <w:rsid w:val="47794C84"/>
    <w:rsid w:val="47EB50F1"/>
    <w:rsid w:val="4B871B00"/>
    <w:rsid w:val="4D49686B"/>
    <w:rsid w:val="4E062661"/>
    <w:rsid w:val="50C23567"/>
    <w:rsid w:val="50ED2406"/>
    <w:rsid w:val="51063B27"/>
    <w:rsid w:val="52BB2B68"/>
    <w:rsid w:val="569040C3"/>
    <w:rsid w:val="570E39C4"/>
    <w:rsid w:val="593C03CE"/>
    <w:rsid w:val="5CD85DEB"/>
    <w:rsid w:val="5DEC2376"/>
    <w:rsid w:val="5E25062B"/>
    <w:rsid w:val="608C1C3B"/>
    <w:rsid w:val="608E1CE7"/>
    <w:rsid w:val="614507D8"/>
    <w:rsid w:val="6E8C4C3D"/>
    <w:rsid w:val="6F1F61AC"/>
    <w:rsid w:val="70C0083E"/>
    <w:rsid w:val="716D5171"/>
    <w:rsid w:val="7297011B"/>
    <w:rsid w:val="741A024B"/>
    <w:rsid w:val="74933140"/>
    <w:rsid w:val="74F52D04"/>
    <w:rsid w:val="78515A11"/>
    <w:rsid w:val="7A044199"/>
    <w:rsid w:val="7BDB094E"/>
    <w:rsid w:val="7C9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1290</Words>
  <Characters>2633</Characters>
  <Lines>1</Lines>
  <Paragraphs>1</Paragraphs>
  <TotalTime>21</TotalTime>
  <ScaleCrop>false</ScaleCrop>
  <LinksUpToDate>false</LinksUpToDate>
  <CharactersWithSpaces>2916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2020-09-18T00:49:00Z</dcterms:created>
  <dc:creator>zhouhu </dc:creator>
  <cp:lastModifiedBy>懒羊羊</cp:lastModifiedBy>
  <dcterms:modified xsi:type="dcterms:W3CDTF">2022-07-21T15:39:15Z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958116DBEB8B43B2878C68AAC82A0CFC</vt:lpwstr>
  </property>
</Properties>
</file>